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62525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Załącznik Nr 3 do </w:t>
      </w:r>
    </w:p>
    <w:p w14:paraId="747BE7F6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Uchwały Nr </w:t>
      </w:r>
      <w:r w:rsidR="00E70F58">
        <w:rPr>
          <w:rFonts w:ascii="Times New Roman" w:hAnsi="Times New Roman" w:cs="Times New Roman"/>
          <w:sz w:val="24"/>
          <w:szCs w:val="24"/>
        </w:rPr>
        <w:t>XLVII</w:t>
      </w:r>
      <w:r w:rsidR="00187883">
        <w:rPr>
          <w:rFonts w:ascii="Times New Roman" w:hAnsi="Times New Roman" w:cs="Times New Roman"/>
          <w:sz w:val="24"/>
          <w:szCs w:val="24"/>
        </w:rPr>
        <w:t>I</w:t>
      </w:r>
      <w:r w:rsidR="00E70F58">
        <w:rPr>
          <w:rFonts w:ascii="Times New Roman" w:hAnsi="Times New Roman" w:cs="Times New Roman"/>
          <w:sz w:val="24"/>
          <w:szCs w:val="24"/>
        </w:rPr>
        <w:t>/2</w:t>
      </w:r>
      <w:r w:rsidR="00187883">
        <w:rPr>
          <w:rFonts w:ascii="Times New Roman" w:hAnsi="Times New Roman" w:cs="Times New Roman"/>
          <w:sz w:val="24"/>
          <w:szCs w:val="24"/>
        </w:rPr>
        <w:t>33</w:t>
      </w:r>
      <w:r w:rsidRPr="007B754A">
        <w:rPr>
          <w:rFonts w:ascii="Times New Roman" w:hAnsi="Times New Roman" w:cs="Times New Roman"/>
          <w:sz w:val="24"/>
          <w:szCs w:val="24"/>
        </w:rPr>
        <w:t>/2022</w:t>
      </w:r>
    </w:p>
    <w:p w14:paraId="507EBB4E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Rady Powiatu w Węgorzewie </w:t>
      </w:r>
    </w:p>
    <w:p w14:paraId="28E491C1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z dnia </w:t>
      </w:r>
      <w:r w:rsidR="00187883">
        <w:rPr>
          <w:rFonts w:ascii="Times New Roman" w:hAnsi="Times New Roman" w:cs="Times New Roman"/>
          <w:sz w:val="24"/>
          <w:szCs w:val="24"/>
        </w:rPr>
        <w:t>24.11</w:t>
      </w:r>
      <w:r w:rsidRPr="007B754A">
        <w:rPr>
          <w:rFonts w:ascii="Times New Roman" w:hAnsi="Times New Roman" w:cs="Times New Roman"/>
          <w:sz w:val="24"/>
          <w:szCs w:val="24"/>
        </w:rPr>
        <w:t>.2022 r.</w:t>
      </w:r>
    </w:p>
    <w:p w14:paraId="63B85A99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14:paraId="32789658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14:paraId="572C83FC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940"/>
        <w:rPr>
          <w:rFonts w:ascii="Times New Roman" w:hAnsi="Times New Roman" w:cs="Times New Roman"/>
          <w:sz w:val="24"/>
          <w:szCs w:val="24"/>
        </w:rPr>
      </w:pPr>
    </w:p>
    <w:p w14:paraId="61D04877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 xml:space="preserve">Część opisowa do Wieloletniej Prognozy Finansowej </w:t>
      </w:r>
    </w:p>
    <w:p w14:paraId="0E78E8FB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>Powiatu Węgorzewskiego</w:t>
      </w:r>
    </w:p>
    <w:p w14:paraId="4F8EA04D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754A">
        <w:rPr>
          <w:rFonts w:ascii="Times New Roman" w:hAnsi="Times New Roman" w:cs="Times New Roman"/>
          <w:b/>
          <w:bCs/>
          <w:sz w:val="24"/>
          <w:szCs w:val="24"/>
        </w:rPr>
        <w:t>na lata 2022-2030</w:t>
      </w:r>
    </w:p>
    <w:p w14:paraId="2DA88FE0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6A45F6A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Na rok 2022 zaplanowano dochody budżetowe w wysokości </w:t>
      </w:r>
      <w:r w:rsidR="00187883">
        <w:rPr>
          <w:rFonts w:ascii="Times New Roman" w:hAnsi="Times New Roman" w:cs="Times New Roman"/>
          <w:sz w:val="24"/>
          <w:szCs w:val="24"/>
        </w:rPr>
        <w:t>63.280.613,40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zł, w tym dochody bieżące </w:t>
      </w:r>
      <w:r w:rsidR="00187883">
        <w:rPr>
          <w:rFonts w:ascii="Times New Roman" w:hAnsi="Times New Roman" w:cs="Times New Roman"/>
          <w:sz w:val="24"/>
          <w:szCs w:val="24"/>
        </w:rPr>
        <w:t>56.551.463,89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 oraz dochody majątkowe w wysokości 6.729.149,51 zł.</w:t>
      </w:r>
    </w:p>
    <w:p w14:paraId="5AED3395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Wydatki budżetu w wysokości </w:t>
      </w:r>
      <w:r w:rsidR="001458F3">
        <w:rPr>
          <w:rFonts w:ascii="Times New Roman" w:hAnsi="Times New Roman" w:cs="Times New Roman"/>
          <w:sz w:val="24"/>
          <w:szCs w:val="24"/>
        </w:rPr>
        <w:t>62.524.823,83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</w:t>
      </w:r>
      <w:r w:rsidRPr="00BB65DD">
        <w:rPr>
          <w:rFonts w:ascii="Times New Roman" w:hAnsi="Times New Roman" w:cs="Times New Roman"/>
          <w:sz w:val="24"/>
          <w:szCs w:val="24"/>
        </w:rPr>
        <w:t xml:space="preserve">, </w:t>
      </w:r>
      <w:r w:rsidRPr="007B754A">
        <w:rPr>
          <w:rFonts w:ascii="Times New Roman" w:hAnsi="Times New Roman" w:cs="Times New Roman"/>
          <w:sz w:val="24"/>
          <w:szCs w:val="24"/>
        </w:rPr>
        <w:t xml:space="preserve">z czego wydatki bieżące to </w:t>
      </w:r>
      <w:r w:rsidR="001458F3">
        <w:rPr>
          <w:rFonts w:ascii="Times New Roman" w:hAnsi="Times New Roman" w:cs="Times New Roman"/>
          <w:sz w:val="24"/>
          <w:szCs w:val="24"/>
        </w:rPr>
        <w:t>52.361.041,51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 oraz wydatki majątkowe 10.</w:t>
      </w:r>
      <w:r w:rsidR="001458F3">
        <w:rPr>
          <w:rFonts w:ascii="Times New Roman" w:hAnsi="Times New Roman" w:cs="Times New Roman"/>
          <w:sz w:val="24"/>
          <w:szCs w:val="24"/>
        </w:rPr>
        <w:t>163.782</w:t>
      </w:r>
      <w:r w:rsidRPr="007B754A">
        <w:rPr>
          <w:rFonts w:ascii="Times New Roman" w:hAnsi="Times New Roman" w:cs="Times New Roman"/>
          <w:sz w:val="24"/>
          <w:szCs w:val="24"/>
        </w:rPr>
        <w:t>,</w:t>
      </w:r>
      <w:r w:rsidR="000E5667">
        <w:rPr>
          <w:rFonts w:ascii="Times New Roman" w:hAnsi="Times New Roman" w:cs="Times New Roman"/>
          <w:sz w:val="24"/>
          <w:szCs w:val="24"/>
        </w:rPr>
        <w:t>32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zł. W wyniku tej relacji dochodów do wydatków, w 2022 roku powstała nadwyżka budżetowa w wysokości </w:t>
      </w:r>
      <w:r w:rsidR="001458F3">
        <w:rPr>
          <w:rFonts w:ascii="Times New Roman" w:hAnsi="Times New Roman" w:cs="Times New Roman"/>
          <w:sz w:val="24"/>
          <w:szCs w:val="24"/>
        </w:rPr>
        <w:t>755.789,57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zł. Nadwyżka budżetu zostaje w całości przeznaczona na spłatę wcześniej zaciągniętych zobowiązań (wykup obligacji).</w:t>
      </w:r>
    </w:p>
    <w:p w14:paraId="58E0BF4F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180DEB" w14:textId="77777777" w:rsidR="007B754A" w:rsidRPr="007B754A" w:rsidRDefault="007B754A" w:rsidP="007B75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W ramach przychodów zaplanowana jest kwota </w:t>
      </w:r>
      <w:r w:rsidR="001458F3">
        <w:rPr>
          <w:rFonts w:ascii="Times New Roman" w:hAnsi="Times New Roman" w:cs="Times New Roman"/>
          <w:sz w:val="24"/>
          <w:szCs w:val="24"/>
        </w:rPr>
        <w:t>244.210,43</w:t>
      </w:r>
      <w:r w:rsidRPr="007B754A">
        <w:rPr>
          <w:rFonts w:ascii="Times New Roman" w:hAnsi="Times New Roman" w:cs="Times New Roman"/>
          <w:sz w:val="24"/>
          <w:szCs w:val="24"/>
        </w:rPr>
        <w:t xml:space="preserve"> zł, są to nadwyżki budżetu jednostki samorządu terytorialnego z lat ubiegłych; o których mowa w art. 217 ust. 2 pkt 5 ustawy oraz niewykorzystane środki na rachunkach bieżących budżetu przeznaczone na realizację wydatków w 2022 roku (w tym Rządowy Fundusz Inwestycji Lokalnych). </w:t>
      </w:r>
    </w:p>
    <w:p w14:paraId="52DAD081" w14:textId="77777777" w:rsidR="007B754A" w:rsidRPr="007B754A" w:rsidRDefault="007B754A" w:rsidP="007B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54A">
        <w:rPr>
          <w:rFonts w:ascii="Times New Roman" w:hAnsi="Times New Roman" w:cs="Times New Roman"/>
          <w:sz w:val="24"/>
          <w:szCs w:val="24"/>
        </w:rPr>
        <w:t xml:space="preserve">Zgodnie z planem na 2022 rok zostały wykupione obligacje w wysokości 1.000.000 zł. </w:t>
      </w:r>
    </w:p>
    <w:p w14:paraId="2F7DC06D" w14:textId="7495432B" w:rsidR="000E5667" w:rsidRPr="000E5667" w:rsidRDefault="000E5667" w:rsidP="000E5667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ramach planowanych wydatków na przedsięwzięcia majątkowe zaktualizowano wysokość środków zaplanowanych na </w:t>
      </w:r>
      <w:r w:rsidRPr="000E5667">
        <w:rPr>
          <w:rFonts w:ascii="Times New Roman" w:eastAsia="Calibri" w:hAnsi="Times New Roman" w:cs="Times New Roman"/>
          <w:color w:val="000000"/>
          <w:sz w:val="24"/>
          <w:szCs w:val="24"/>
        </w:rPr>
        <w:t>zadanie pod nazwą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0E5667">
        <w:rPr>
          <w:rFonts w:ascii="Times New Roman" w:eastAsia="Calibri" w:hAnsi="Times New Roman" w:cs="Times New Roman"/>
          <w:sz w:val="24"/>
          <w:szCs w:val="24"/>
        </w:rPr>
        <w:t>„Przebudowa dr</w:t>
      </w:r>
      <w:r w:rsidR="001458F3">
        <w:rPr>
          <w:rFonts w:ascii="Times New Roman" w:eastAsia="Calibri" w:hAnsi="Times New Roman" w:cs="Times New Roman"/>
          <w:sz w:val="24"/>
          <w:szCs w:val="24"/>
        </w:rPr>
        <w:t>óg powiatowych w Powiecie Węgorzewskim</w:t>
      </w:r>
      <w:r w:rsidRPr="000E5667">
        <w:rPr>
          <w:rFonts w:ascii="Times New Roman" w:eastAsia="Calibri" w:hAnsi="Times New Roman" w:cs="Times New Roman"/>
          <w:sz w:val="24"/>
          <w:szCs w:val="24"/>
        </w:rPr>
        <w:t>”</w:t>
      </w:r>
      <w:r>
        <w:rPr>
          <w:rFonts w:ascii="Times New Roman" w:eastAsia="Calibri" w:hAnsi="Times New Roman" w:cs="Times New Roman"/>
          <w:sz w:val="24"/>
          <w:szCs w:val="24"/>
        </w:rPr>
        <w:t xml:space="preserve">. W roku 2022 </w:t>
      </w:r>
      <w:r w:rsidR="001458F3">
        <w:rPr>
          <w:rFonts w:ascii="Times New Roman" w:eastAsia="Calibri" w:hAnsi="Times New Roman" w:cs="Times New Roman"/>
          <w:sz w:val="24"/>
          <w:szCs w:val="24"/>
        </w:rPr>
        <w:t>zwiększono plan wydatków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 w:rsidR="001458F3">
        <w:rPr>
          <w:rFonts w:ascii="Times New Roman" w:eastAsia="Calibri" w:hAnsi="Times New Roman" w:cs="Times New Roman"/>
          <w:sz w:val="24"/>
          <w:szCs w:val="24"/>
        </w:rPr>
        <w:t>21.282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zł, a na rok przyszły </w:t>
      </w:r>
      <w:r w:rsidR="00BB65DD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o kwotę </w:t>
      </w:r>
      <w:r w:rsidR="001458F3">
        <w:rPr>
          <w:rFonts w:ascii="Times New Roman" w:eastAsia="Calibri" w:hAnsi="Times New Roman" w:cs="Times New Roman"/>
          <w:sz w:val="24"/>
          <w:szCs w:val="24"/>
        </w:rPr>
        <w:t>458.718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 ustalając łączne nakłady finansowe na kwotę </w:t>
      </w:r>
      <w:r w:rsidR="001458F3">
        <w:rPr>
          <w:rFonts w:ascii="Times New Roman" w:eastAsia="Calibri" w:hAnsi="Times New Roman" w:cs="Times New Roman"/>
          <w:sz w:val="24"/>
          <w:szCs w:val="24"/>
        </w:rPr>
        <w:t>5.480.000</w:t>
      </w:r>
      <w:r>
        <w:rPr>
          <w:rFonts w:ascii="Times New Roman" w:eastAsia="Calibri" w:hAnsi="Times New Roman" w:cs="Times New Roman"/>
          <w:sz w:val="24"/>
          <w:szCs w:val="24"/>
        </w:rPr>
        <w:t xml:space="preserve"> zł.</w:t>
      </w:r>
    </w:p>
    <w:p w14:paraId="064BEE18" w14:textId="77777777" w:rsidR="00177477" w:rsidRPr="007B754A" w:rsidRDefault="00177477">
      <w:pPr>
        <w:rPr>
          <w:sz w:val="24"/>
          <w:szCs w:val="24"/>
        </w:rPr>
      </w:pPr>
    </w:p>
    <w:sectPr w:rsidR="00177477" w:rsidRPr="007B754A" w:rsidSect="005F2E3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4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1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5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6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22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8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94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306" w:hanging="426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</w:abstractNum>
  <w:abstractNum w:abstractNumId="1" w15:restartNumberingAfterBreak="0">
    <w:nsid w:val="0F2B1628"/>
    <w:multiLevelType w:val="hybridMultilevel"/>
    <w:tmpl w:val="60B22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0026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608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EB"/>
    <w:rsid w:val="000E5667"/>
    <w:rsid w:val="001458F3"/>
    <w:rsid w:val="00177477"/>
    <w:rsid w:val="00187883"/>
    <w:rsid w:val="007A33EB"/>
    <w:rsid w:val="007B754A"/>
    <w:rsid w:val="00825420"/>
    <w:rsid w:val="00B20C02"/>
    <w:rsid w:val="00BB65DD"/>
    <w:rsid w:val="00E7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C9C7"/>
  <w15:docId w15:val="{25EFE695-D970-41BF-A429-9DC85F9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Sakowska</dc:creator>
  <cp:keywords/>
  <dc:description/>
  <cp:lastModifiedBy>Katarzyna Atkielska</cp:lastModifiedBy>
  <cp:revision>8</cp:revision>
  <dcterms:created xsi:type="dcterms:W3CDTF">2022-10-19T14:52:00Z</dcterms:created>
  <dcterms:modified xsi:type="dcterms:W3CDTF">2022-11-25T06:47:00Z</dcterms:modified>
</cp:coreProperties>
</file>