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6" w:rsidRPr="00E139B6" w:rsidRDefault="004F426C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139B6" w:rsidRPr="00E139B6">
        <w:rPr>
          <w:rFonts w:ascii="Times New Roman" w:hAnsi="Times New Roman" w:cs="Times New Roman"/>
          <w:sz w:val="24"/>
          <w:szCs w:val="24"/>
        </w:rPr>
        <w:t xml:space="preserve">ałącznik Nr 3 do 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ED3E0A">
        <w:rPr>
          <w:rFonts w:ascii="Times New Roman" w:hAnsi="Times New Roman" w:cs="Times New Roman"/>
          <w:sz w:val="24"/>
          <w:szCs w:val="24"/>
        </w:rPr>
        <w:t>XLIX/234</w:t>
      </w:r>
      <w:bookmarkStart w:id="0" w:name="_GoBack"/>
      <w:bookmarkEnd w:id="0"/>
      <w:r w:rsidRPr="00E139B6">
        <w:rPr>
          <w:rFonts w:ascii="Times New Roman" w:hAnsi="Times New Roman" w:cs="Times New Roman"/>
          <w:sz w:val="24"/>
          <w:szCs w:val="24"/>
        </w:rPr>
        <w:t>/2022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 xml:space="preserve">Rady Powiatu w Węgorzewie 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>z dnia 22.12.2022 r.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B6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do Wieloletniej Prognozy Finansowej 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B6">
        <w:rPr>
          <w:rFonts w:ascii="Times New Roman" w:hAnsi="Times New Roman" w:cs="Times New Roman"/>
          <w:b/>
          <w:bCs/>
          <w:sz w:val="24"/>
          <w:szCs w:val="24"/>
        </w:rPr>
        <w:t>Powiatu Węgorzewskiego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B6">
        <w:rPr>
          <w:rFonts w:ascii="Times New Roman" w:hAnsi="Times New Roman" w:cs="Times New Roman"/>
          <w:b/>
          <w:bCs/>
          <w:sz w:val="24"/>
          <w:szCs w:val="24"/>
        </w:rPr>
        <w:t>na lata 2022-2030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>Na rok 2022 zaplanowano dochody budżetowe w wysokości 63.</w:t>
      </w:r>
      <w:r w:rsidR="00F96EEB">
        <w:rPr>
          <w:rFonts w:ascii="Times New Roman" w:hAnsi="Times New Roman" w:cs="Times New Roman"/>
          <w:sz w:val="24"/>
          <w:szCs w:val="24"/>
        </w:rPr>
        <w:t>214.641,64</w:t>
      </w:r>
      <w:r w:rsidRPr="00E139B6">
        <w:rPr>
          <w:rFonts w:ascii="Times New Roman" w:hAnsi="Times New Roman" w:cs="Times New Roman"/>
          <w:sz w:val="24"/>
          <w:szCs w:val="24"/>
        </w:rPr>
        <w:t xml:space="preserve"> zł, w tym dochody bieżące 56.</w:t>
      </w:r>
      <w:r w:rsidR="00F96EEB">
        <w:rPr>
          <w:rFonts w:ascii="Times New Roman" w:hAnsi="Times New Roman" w:cs="Times New Roman"/>
          <w:sz w:val="24"/>
          <w:szCs w:val="24"/>
        </w:rPr>
        <w:t>445.492,13</w:t>
      </w:r>
      <w:r w:rsidRPr="00E139B6">
        <w:rPr>
          <w:rFonts w:ascii="Times New Roman" w:hAnsi="Times New Roman" w:cs="Times New Roman"/>
          <w:sz w:val="24"/>
          <w:szCs w:val="24"/>
        </w:rPr>
        <w:t xml:space="preserve"> zł oraz do</w:t>
      </w:r>
      <w:r w:rsidR="00F96EEB">
        <w:rPr>
          <w:rFonts w:ascii="Times New Roman" w:hAnsi="Times New Roman" w:cs="Times New Roman"/>
          <w:sz w:val="24"/>
          <w:szCs w:val="24"/>
        </w:rPr>
        <w:t>chody majątkowe w wysokości 6.76</w:t>
      </w:r>
      <w:r w:rsidRPr="00E139B6">
        <w:rPr>
          <w:rFonts w:ascii="Times New Roman" w:hAnsi="Times New Roman" w:cs="Times New Roman"/>
          <w:sz w:val="24"/>
          <w:szCs w:val="24"/>
        </w:rPr>
        <w:t>9.149,51 zł.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>Wydatki budżetu w wysokości 62.</w:t>
      </w:r>
      <w:r w:rsidR="00F96EEB">
        <w:rPr>
          <w:rFonts w:ascii="Times New Roman" w:hAnsi="Times New Roman" w:cs="Times New Roman"/>
          <w:sz w:val="24"/>
          <w:szCs w:val="24"/>
        </w:rPr>
        <w:t>565.322,08</w:t>
      </w:r>
      <w:r w:rsidRPr="00E139B6">
        <w:rPr>
          <w:rFonts w:ascii="Times New Roman" w:hAnsi="Times New Roman" w:cs="Times New Roman"/>
          <w:sz w:val="24"/>
          <w:szCs w:val="24"/>
        </w:rPr>
        <w:t xml:space="preserve"> zł</w:t>
      </w:r>
      <w:r w:rsidRPr="00E139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139B6">
        <w:rPr>
          <w:rFonts w:ascii="Times New Roman" w:hAnsi="Times New Roman" w:cs="Times New Roman"/>
          <w:sz w:val="24"/>
          <w:szCs w:val="24"/>
        </w:rPr>
        <w:t xml:space="preserve"> z czego wydatki bieżące to 52.</w:t>
      </w:r>
      <w:r w:rsidR="00F96EEB">
        <w:rPr>
          <w:rFonts w:ascii="Times New Roman" w:hAnsi="Times New Roman" w:cs="Times New Roman"/>
          <w:sz w:val="24"/>
          <w:szCs w:val="24"/>
        </w:rPr>
        <w:t>376.539,76</w:t>
      </w:r>
      <w:r w:rsidRPr="00E139B6">
        <w:rPr>
          <w:rFonts w:ascii="Times New Roman" w:hAnsi="Times New Roman" w:cs="Times New Roman"/>
          <w:sz w:val="24"/>
          <w:szCs w:val="24"/>
        </w:rPr>
        <w:t xml:space="preserve"> zł oraz wydatki majątkowe 10.</w:t>
      </w:r>
      <w:r w:rsidR="00F96EEB">
        <w:rPr>
          <w:rFonts w:ascii="Times New Roman" w:hAnsi="Times New Roman" w:cs="Times New Roman"/>
          <w:sz w:val="24"/>
          <w:szCs w:val="24"/>
        </w:rPr>
        <w:t>188</w:t>
      </w:r>
      <w:r w:rsidR="00D63DE7">
        <w:rPr>
          <w:rFonts w:ascii="Times New Roman" w:hAnsi="Times New Roman" w:cs="Times New Roman"/>
          <w:sz w:val="24"/>
          <w:szCs w:val="24"/>
        </w:rPr>
        <w:t>.</w:t>
      </w:r>
      <w:r w:rsidRPr="00E139B6">
        <w:rPr>
          <w:rFonts w:ascii="Times New Roman" w:hAnsi="Times New Roman" w:cs="Times New Roman"/>
          <w:sz w:val="24"/>
          <w:szCs w:val="24"/>
        </w:rPr>
        <w:t xml:space="preserve">782,32 zł. W wyniku tej relacji dochodów do wydatków, w 2022 roku powstała nadwyżka budżetowa w wysokości </w:t>
      </w:r>
      <w:r w:rsidR="00F96EEB">
        <w:rPr>
          <w:rFonts w:ascii="Times New Roman" w:hAnsi="Times New Roman" w:cs="Times New Roman"/>
          <w:sz w:val="24"/>
          <w:szCs w:val="24"/>
        </w:rPr>
        <w:t>649.319,56</w:t>
      </w:r>
      <w:r w:rsidRPr="00E139B6">
        <w:rPr>
          <w:rFonts w:ascii="Times New Roman" w:hAnsi="Times New Roman" w:cs="Times New Roman"/>
          <w:sz w:val="24"/>
          <w:szCs w:val="24"/>
        </w:rPr>
        <w:t xml:space="preserve"> zł. Nadwyżka budżetu zostaje w całości przeznaczona na spłatę wcześniej zaciągniętych zobowiązań (wykup obligacji).</w:t>
      </w: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9B6" w:rsidRPr="00E139B6" w:rsidRDefault="00E139B6" w:rsidP="00E139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 xml:space="preserve">W ramach przychodów zaplanowana jest kwota </w:t>
      </w:r>
      <w:r w:rsidR="00F96EEB">
        <w:rPr>
          <w:rFonts w:ascii="Times New Roman" w:hAnsi="Times New Roman" w:cs="Times New Roman"/>
          <w:sz w:val="24"/>
          <w:szCs w:val="24"/>
        </w:rPr>
        <w:t>350.680,44</w:t>
      </w:r>
      <w:r w:rsidRPr="00E139B6">
        <w:rPr>
          <w:rFonts w:ascii="Times New Roman" w:hAnsi="Times New Roman" w:cs="Times New Roman"/>
          <w:sz w:val="24"/>
          <w:szCs w:val="24"/>
        </w:rPr>
        <w:t xml:space="preserve"> zł, są to nadwyżki budżetu jednostki samorządu terytorialnego z lat ubiegłych; o których mowa w art. 217 ust. 2 pkt 5 ustawy oraz niewykorzystane środki na rachunkach bieżących budżetu przeznaczone na realizację wydatków w 2022 roku (w tym Rządowy Fundusz Inwestycji Lokalnych). </w:t>
      </w:r>
    </w:p>
    <w:p w:rsidR="00E139B6" w:rsidRPr="00E139B6" w:rsidRDefault="00E139B6" w:rsidP="00E139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B6">
        <w:rPr>
          <w:rFonts w:ascii="Times New Roman" w:hAnsi="Times New Roman" w:cs="Times New Roman"/>
          <w:sz w:val="24"/>
          <w:szCs w:val="24"/>
        </w:rPr>
        <w:t xml:space="preserve">Zgodnie z planem na 2022 rok zostały wykupione obligacje w wysokości 1.000.000 zł. </w:t>
      </w:r>
    </w:p>
    <w:p w:rsidR="00E139B6" w:rsidRPr="00E139B6" w:rsidRDefault="00E139B6" w:rsidP="00E139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E51C4" w:rsidRDefault="00FE51C4"/>
    <w:sectPr w:rsidR="00FE51C4" w:rsidSect="001837E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0A"/>
    <w:rsid w:val="004F426C"/>
    <w:rsid w:val="00B8540A"/>
    <w:rsid w:val="00D63DE7"/>
    <w:rsid w:val="00E139B6"/>
    <w:rsid w:val="00ED3E0A"/>
    <w:rsid w:val="00F96EEB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Dorota Sakowska</cp:lastModifiedBy>
  <cp:revision>6</cp:revision>
  <cp:lastPrinted>2022-12-15T12:02:00Z</cp:lastPrinted>
  <dcterms:created xsi:type="dcterms:W3CDTF">2022-12-15T11:53:00Z</dcterms:created>
  <dcterms:modified xsi:type="dcterms:W3CDTF">2022-12-21T10:10:00Z</dcterms:modified>
</cp:coreProperties>
</file>