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Uchwała Nr 154/2021</w:t>
      </w: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Zarządu Powiatu w Węgorzewie </w:t>
      </w:r>
      <w:r>
        <w:rPr>
          <w:b/>
          <w:bCs/>
          <w:color w:val="333333"/>
        </w:rPr>
        <w:br/>
        <w:t>z dnia 14 września 2021</w:t>
      </w: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w sprawie zmian budżetu Powiatu na 2021 rok</w:t>
      </w: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color w:val="333333"/>
        </w:rPr>
      </w:pP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333333"/>
        </w:rPr>
      </w:pPr>
      <w:r>
        <w:t xml:space="preserve">Na podstawie art. 247 ust. 1 i art. 257 </w:t>
      </w:r>
      <w:r>
        <w:rPr>
          <w:color w:val="000000"/>
        </w:rPr>
        <w:t>ustawy z dnia 27 sierpnia 2009 r. o finansach publicznych (</w:t>
      </w:r>
      <w:r>
        <w:t xml:space="preserve">Dz.U. z 2021 r., poz. 305 z </w:t>
      </w:r>
      <w:proofErr w:type="spellStart"/>
      <w:r>
        <w:t>późn</w:t>
      </w:r>
      <w:proofErr w:type="spellEnd"/>
      <w:r>
        <w:t>. zm.</w:t>
      </w:r>
      <w:r>
        <w:rPr>
          <w:color w:val="000000"/>
        </w:rPr>
        <w:t xml:space="preserve">), </w:t>
      </w:r>
      <w:r>
        <w:rPr>
          <w:color w:val="333333"/>
        </w:rPr>
        <w:t xml:space="preserve"> oraz decyzji Wojewody Warmińsko-Mazurskiego: FK 249/2021, </w:t>
      </w: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Zarząd Powiatu uchwala co następuje:</w:t>
      </w: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color w:val="333333"/>
        </w:rPr>
      </w:pP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color w:val="333333"/>
        </w:rPr>
      </w:pPr>
      <w:r>
        <w:rPr>
          <w:b/>
          <w:bCs/>
          <w:color w:val="333333"/>
        </w:rPr>
        <w:t>§ 1</w:t>
      </w: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</w:p>
    <w:p w:rsidR="001D5234" w:rsidRDefault="001D5234" w:rsidP="001D5234">
      <w:pPr>
        <w:widowControl w:val="0"/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 xml:space="preserve">W budżecie Powiatu Węgorzewskiego ustalonym uchwałą Nr XXVI/127/2020 z dnia 17 grudnia 2020 r. dokonano następujących zmian: </w:t>
      </w:r>
    </w:p>
    <w:p w:rsidR="001D5234" w:rsidRDefault="001D5234" w:rsidP="001D5234">
      <w:pPr>
        <w:pStyle w:val="Akapitzlist"/>
        <w:widowControl w:val="0"/>
        <w:numPr>
          <w:ilvl w:val="0"/>
          <w:numId w:val="1"/>
        </w:numPr>
        <w:tabs>
          <w:tab w:val="left" w:pos="709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709" w:hanging="567"/>
        <w:jc w:val="both"/>
        <w:rPr>
          <w:color w:val="333333"/>
        </w:rPr>
      </w:pPr>
      <w:r>
        <w:rPr>
          <w:color w:val="333333"/>
        </w:rPr>
        <w:t xml:space="preserve">Wysokości planowanych kwot dochodów powiatu zmienia się zgodnie z brzmieniem załącznika nr 1 do niniejszej uchwały. Łączny plan dochodów po dokonanych zmianach wynosi </w:t>
      </w:r>
      <w:r>
        <w:rPr>
          <w:b/>
          <w:bCs/>
          <w:i/>
          <w:iCs/>
        </w:rPr>
        <w:t>52.872.783,01 zł</w:t>
      </w:r>
      <w:r>
        <w:rPr>
          <w:color w:val="333333"/>
        </w:rPr>
        <w:t xml:space="preserve">  i obejmuje: </w:t>
      </w:r>
    </w:p>
    <w:p w:rsidR="001D5234" w:rsidRDefault="001D5234" w:rsidP="001D5234">
      <w:pPr>
        <w:widowControl w:val="0"/>
        <w:numPr>
          <w:ilvl w:val="0"/>
          <w:numId w:val="2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276" w:hanging="567"/>
        <w:jc w:val="both"/>
        <w:rPr>
          <w:color w:val="333333"/>
        </w:rPr>
      </w:pPr>
      <w:r>
        <w:rPr>
          <w:color w:val="333333"/>
        </w:rPr>
        <w:t xml:space="preserve">dochody bieżące w kwocie </w:t>
      </w:r>
      <w:r>
        <w:rPr>
          <w:b/>
          <w:bCs/>
          <w:i/>
          <w:iCs/>
        </w:rPr>
        <w:t xml:space="preserve">47.362.530,58 zł </w:t>
      </w:r>
      <w:r>
        <w:rPr>
          <w:color w:val="333333"/>
        </w:rPr>
        <w:t xml:space="preserve"> </w:t>
      </w:r>
      <w:r>
        <w:t xml:space="preserve">w tym z tytułu dotacji i środków na finansowanie wydatków na realizację zadań finansowanych z udziałem środków o których mowa w art. 5 ust 1 pkt 2 i 3 – </w:t>
      </w:r>
      <w:r>
        <w:rPr>
          <w:b/>
          <w:i/>
          <w:iCs/>
        </w:rPr>
        <w:t>849.625,89 zł</w:t>
      </w:r>
      <w:r>
        <w:rPr>
          <w:i/>
          <w:iCs/>
        </w:rPr>
        <w:t xml:space="preserve"> </w:t>
      </w:r>
    </w:p>
    <w:p w:rsidR="001D5234" w:rsidRDefault="001D5234" w:rsidP="001D5234">
      <w:pPr>
        <w:widowControl w:val="0"/>
        <w:numPr>
          <w:ilvl w:val="0"/>
          <w:numId w:val="2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276" w:hanging="567"/>
        <w:jc w:val="both"/>
        <w:rPr>
          <w:color w:val="333333"/>
        </w:rPr>
      </w:pPr>
      <w:r>
        <w:rPr>
          <w:color w:val="333333"/>
        </w:rPr>
        <w:t xml:space="preserve">dochody majątkowe w kwocie </w:t>
      </w:r>
      <w:r>
        <w:rPr>
          <w:b/>
          <w:bCs/>
          <w:i/>
          <w:iCs/>
        </w:rPr>
        <w:t>5.510.252,43 zł</w:t>
      </w:r>
      <w:r>
        <w:rPr>
          <w:color w:val="333333"/>
        </w:rPr>
        <w:t>,</w:t>
      </w:r>
      <w:r>
        <w:t xml:space="preserve"> w tym z tytułu dotacji i środków na finansowanie wydatków na realizację zadań finansowanych z udziałem środków o których mowa w art. 5 ust 1 pkt 2 i 3 – </w:t>
      </w:r>
      <w:r>
        <w:rPr>
          <w:b/>
          <w:i/>
          <w:iCs/>
        </w:rPr>
        <w:t>2.226.339,59 zł</w:t>
      </w:r>
      <w:r>
        <w:rPr>
          <w:i/>
          <w:iCs/>
        </w:rPr>
        <w:t>.</w:t>
      </w:r>
    </w:p>
    <w:p w:rsidR="001D5234" w:rsidRDefault="001D5234" w:rsidP="001D5234">
      <w:pPr>
        <w:pStyle w:val="Akapitzlist"/>
        <w:widowControl w:val="0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567"/>
        <w:jc w:val="both"/>
        <w:rPr>
          <w:color w:val="333333"/>
        </w:rPr>
      </w:pPr>
      <w:r>
        <w:rPr>
          <w:color w:val="333333"/>
        </w:rPr>
        <w:t xml:space="preserve">Wysokości planowanych kwot wydatków powiatu zmienia się zgodnie z brzmieniem załącznika nr 2 do niniejszej uchwały. Łączny plan wydatków po dokonanych zmianach wynosi </w:t>
      </w:r>
      <w:r>
        <w:rPr>
          <w:b/>
          <w:bCs/>
          <w:i/>
          <w:iCs/>
        </w:rPr>
        <w:t>57.741.586,79 zł</w:t>
      </w:r>
      <w:r>
        <w:rPr>
          <w:color w:val="333333"/>
        </w:rPr>
        <w:t xml:space="preserve"> i obejmuje: </w:t>
      </w:r>
    </w:p>
    <w:p w:rsidR="001D5234" w:rsidRDefault="001D5234" w:rsidP="001D5234">
      <w:pPr>
        <w:widowControl w:val="0"/>
        <w:numPr>
          <w:ilvl w:val="0"/>
          <w:numId w:val="3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276" w:hanging="567"/>
        <w:jc w:val="both"/>
        <w:rPr>
          <w:color w:val="333333"/>
        </w:rPr>
      </w:pPr>
      <w:r>
        <w:rPr>
          <w:color w:val="333333"/>
        </w:rPr>
        <w:t xml:space="preserve">wydatki bieżące w kwocie </w:t>
      </w:r>
      <w:r>
        <w:rPr>
          <w:b/>
          <w:bCs/>
          <w:i/>
          <w:iCs/>
        </w:rPr>
        <w:t>47.782.902,09 zł</w:t>
      </w:r>
      <w:r>
        <w:t>,</w:t>
      </w:r>
      <w:r>
        <w:rPr>
          <w:color w:val="333333"/>
        </w:rPr>
        <w:t xml:space="preserve"> z czego </w:t>
      </w:r>
    </w:p>
    <w:p w:rsidR="001D5234" w:rsidRDefault="001D5234" w:rsidP="001D5234">
      <w:pPr>
        <w:widowControl w:val="0"/>
        <w:numPr>
          <w:ilvl w:val="0"/>
          <w:numId w:val="4"/>
        </w:numPr>
        <w:tabs>
          <w:tab w:val="left" w:pos="1560"/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1560" w:hanging="567"/>
        <w:jc w:val="both"/>
        <w:rPr>
          <w:color w:val="333333"/>
        </w:rPr>
      </w:pPr>
      <w:r>
        <w:rPr>
          <w:color w:val="333333"/>
        </w:rPr>
        <w:t xml:space="preserve">wydatki jednostek budżetowych </w:t>
      </w:r>
      <w:r>
        <w:rPr>
          <w:b/>
          <w:bCs/>
          <w:i/>
          <w:iCs/>
        </w:rPr>
        <w:t>43.763.760,19 zł</w:t>
      </w:r>
      <w:r>
        <w:rPr>
          <w:color w:val="333333"/>
        </w:rPr>
        <w:t xml:space="preserve"> , w tym: </w:t>
      </w:r>
    </w:p>
    <w:p w:rsidR="001D5234" w:rsidRDefault="001D5234" w:rsidP="001D5234">
      <w:pPr>
        <w:widowControl w:val="0"/>
        <w:numPr>
          <w:ilvl w:val="4"/>
          <w:numId w:val="5"/>
        </w:numPr>
        <w:tabs>
          <w:tab w:val="left" w:pos="1701"/>
          <w:tab w:val="left" w:pos="184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1560" w:hanging="284"/>
        <w:jc w:val="both"/>
        <w:rPr>
          <w:color w:val="333333"/>
        </w:rPr>
      </w:pPr>
      <w:r>
        <w:rPr>
          <w:color w:val="333333"/>
        </w:rPr>
        <w:t xml:space="preserve">wynagrodzenia i składki od nich naliczane </w:t>
      </w:r>
      <w:r>
        <w:rPr>
          <w:b/>
          <w:bCs/>
          <w:i/>
          <w:iCs/>
        </w:rPr>
        <w:t>33.481.036,45 zł,</w:t>
      </w:r>
    </w:p>
    <w:p w:rsidR="001D5234" w:rsidRDefault="001D5234" w:rsidP="001D5234">
      <w:pPr>
        <w:widowControl w:val="0"/>
        <w:numPr>
          <w:ilvl w:val="4"/>
          <w:numId w:val="5"/>
        </w:numPr>
        <w:tabs>
          <w:tab w:val="left" w:pos="1701"/>
          <w:tab w:val="left" w:pos="184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1560" w:hanging="284"/>
        <w:jc w:val="both"/>
        <w:rPr>
          <w:color w:val="333333"/>
        </w:rPr>
      </w:pPr>
      <w:r>
        <w:rPr>
          <w:color w:val="333333"/>
        </w:rPr>
        <w:t xml:space="preserve">wydatki związane z realizacją ich statutowych zadań </w:t>
      </w:r>
      <w:r>
        <w:rPr>
          <w:b/>
          <w:bCs/>
          <w:i/>
          <w:iCs/>
          <w:color w:val="000000"/>
        </w:rPr>
        <w:t xml:space="preserve">10.282.723,74 </w:t>
      </w:r>
      <w:r>
        <w:rPr>
          <w:b/>
          <w:bCs/>
          <w:i/>
          <w:iCs/>
        </w:rPr>
        <w:t>zł</w:t>
      </w:r>
      <w:r>
        <w:rPr>
          <w:color w:val="333333"/>
        </w:rPr>
        <w:t>,</w:t>
      </w:r>
    </w:p>
    <w:p w:rsidR="001D5234" w:rsidRDefault="001D5234" w:rsidP="001D5234">
      <w:pPr>
        <w:widowControl w:val="0"/>
        <w:numPr>
          <w:ilvl w:val="0"/>
          <w:numId w:val="4"/>
        </w:numPr>
        <w:tabs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1560" w:hanging="567"/>
        <w:jc w:val="both"/>
        <w:rPr>
          <w:color w:val="333333"/>
        </w:rPr>
      </w:pPr>
      <w:r>
        <w:rPr>
          <w:color w:val="333333"/>
        </w:rPr>
        <w:t xml:space="preserve">dotacje na zadania bieżące </w:t>
      </w:r>
      <w:r>
        <w:rPr>
          <w:b/>
          <w:bCs/>
          <w:i/>
          <w:iCs/>
          <w:color w:val="000000"/>
        </w:rPr>
        <w:t>537.671,60 zł</w:t>
      </w:r>
      <w:r>
        <w:t>,</w:t>
      </w:r>
      <w:r>
        <w:rPr>
          <w:color w:val="333333"/>
        </w:rPr>
        <w:t xml:space="preserve"> </w:t>
      </w:r>
    </w:p>
    <w:p w:rsidR="001D5234" w:rsidRDefault="001D5234" w:rsidP="001D5234">
      <w:pPr>
        <w:widowControl w:val="0"/>
        <w:numPr>
          <w:ilvl w:val="0"/>
          <w:numId w:val="4"/>
        </w:numPr>
        <w:tabs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1560" w:hanging="567"/>
        <w:jc w:val="both"/>
        <w:rPr>
          <w:color w:val="333333"/>
        </w:rPr>
      </w:pPr>
      <w:r>
        <w:rPr>
          <w:color w:val="333333"/>
        </w:rPr>
        <w:t xml:space="preserve">świadczenia na rzecz osób fizycznych </w:t>
      </w:r>
      <w:r>
        <w:rPr>
          <w:b/>
          <w:bCs/>
          <w:i/>
          <w:iCs/>
          <w:color w:val="000000"/>
        </w:rPr>
        <w:t xml:space="preserve">1.533.287,00 </w:t>
      </w:r>
      <w:r>
        <w:rPr>
          <w:b/>
          <w:bCs/>
          <w:i/>
          <w:iCs/>
        </w:rPr>
        <w:t>zł</w:t>
      </w:r>
      <w:r>
        <w:t>,</w:t>
      </w:r>
    </w:p>
    <w:p w:rsidR="001D5234" w:rsidRDefault="001D5234" w:rsidP="001D5234">
      <w:pPr>
        <w:numPr>
          <w:ilvl w:val="0"/>
          <w:numId w:val="4"/>
        </w:numPr>
        <w:tabs>
          <w:tab w:val="left" w:pos="1701"/>
        </w:tabs>
        <w:ind w:left="1560" w:hanging="567"/>
        <w:contextualSpacing/>
        <w:jc w:val="both"/>
        <w:rPr>
          <w:color w:val="333333"/>
        </w:rPr>
      </w:pPr>
      <w:r>
        <w:rPr>
          <w:color w:val="333333"/>
        </w:rPr>
        <w:t xml:space="preserve">wydatki na programy finansowane z udziałem środków, o których mowa w art. 5 ust. 1 pkt 2 i 3 ustawy z dnia 27 sierpnia 2009 r. o finansach publicznych </w:t>
      </w:r>
      <w:r>
        <w:rPr>
          <w:b/>
          <w:bCs/>
          <w:i/>
          <w:iCs/>
        </w:rPr>
        <w:t>1.766.183,30 zł</w:t>
      </w:r>
      <w:r>
        <w:rPr>
          <w:color w:val="333333"/>
        </w:rPr>
        <w:t>,</w:t>
      </w:r>
    </w:p>
    <w:p w:rsidR="001D5234" w:rsidRDefault="001D5234" w:rsidP="001D5234">
      <w:pPr>
        <w:widowControl w:val="0"/>
        <w:numPr>
          <w:ilvl w:val="0"/>
          <w:numId w:val="4"/>
        </w:numPr>
        <w:tabs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1560" w:hanging="567"/>
        <w:jc w:val="both"/>
        <w:rPr>
          <w:color w:val="333333"/>
        </w:rPr>
      </w:pPr>
      <w:r>
        <w:rPr>
          <w:color w:val="333333"/>
        </w:rPr>
        <w:t xml:space="preserve">obsługa długu </w:t>
      </w:r>
      <w:r>
        <w:rPr>
          <w:b/>
          <w:bCs/>
          <w:i/>
          <w:iCs/>
        </w:rPr>
        <w:t>182.000,00  zł,</w:t>
      </w:r>
    </w:p>
    <w:p w:rsidR="001D5234" w:rsidRDefault="001D5234" w:rsidP="001D5234">
      <w:pPr>
        <w:widowControl w:val="0"/>
        <w:numPr>
          <w:ilvl w:val="0"/>
          <w:numId w:val="3"/>
        </w:numPr>
        <w:tabs>
          <w:tab w:val="left" w:pos="878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276" w:hanging="567"/>
        <w:jc w:val="both"/>
        <w:rPr>
          <w:color w:val="333333"/>
        </w:rPr>
      </w:pPr>
      <w:r>
        <w:rPr>
          <w:color w:val="333333"/>
        </w:rPr>
        <w:t xml:space="preserve">wydatki majątkowe w kwocie </w:t>
      </w:r>
      <w:r>
        <w:rPr>
          <w:b/>
          <w:bCs/>
          <w:i/>
          <w:iCs/>
        </w:rPr>
        <w:t>9.958.684,70 zł</w:t>
      </w:r>
      <w:r>
        <w:rPr>
          <w:color w:val="333333"/>
        </w:rPr>
        <w:t xml:space="preserve">, z czego: </w:t>
      </w:r>
    </w:p>
    <w:p w:rsidR="001D5234" w:rsidRDefault="001D5234" w:rsidP="001D5234">
      <w:pPr>
        <w:widowControl w:val="0"/>
        <w:numPr>
          <w:ilvl w:val="0"/>
          <w:numId w:val="6"/>
        </w:numPr>
        <w:tabs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1560" w:hanging="567"/>
        <w:jc w:val="both"/>
        <w:rPr>
          <w:color w:val="333333"/>
        </w:rPr>
      </w:pPr>
      <w:r>
        <w:rPr>
          <w:color w:val="333333"/>
        </w:rPr>
        <w:t xml:space="preserve">inwestycje i zakupy inwestycyjne </w:t>
      </w:r>
      <w:r>
        <w:rPr>
          <w:b/>
          <w:bCs/>
          <w:i/>
          <w:iCs/>
        </w:rPr>
        <w:t xml:space="preserve"> 9.910.684,70  zł</w:t>
      </w:r>
      <w:r>
        <w:rPr>
          <w:color w:val="333333"/>
        </w:rPr>
        <w:t xml:space="preserve"> w tym:</w:t>
      </w:r>
    </w:p>
    <w:p w:rsidR="001D5234" w:rsidRDefault="001D5234" w:rsidP="001D5234">
      <w:pPr>
        <w:widowControl w:val="0"/>
        <w:numPr>
          <w:ilvl w:val="0"/>
          <w:numId w:val="7"/>
        </w:numPr>
        <w:tabs>
          <w:tab w:val="left" w:pos="1560"/>
          <w:tab w:val="left" w:pos="1843"/>
          <w:tab w:val="left" w:pos="2694"/>
          <w:tab w:val="left" w:pos="360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1560" w:hanging="284"/>
        <w:jc w:val="both"/>
        <w:rPr>
          <w:color w:val="333333"/>
        </w:rPr>
      </w:pPr>
      <w:r>
        <w:rPr>
          <w:color w:val="333333"/>
        </w:rPr>
        <w:t xml:space="preserve">na programy finansowane z udziałem środków, o których mowa w art. 5 ust. 1 pkt 2 i 3 ustawy z dnia 27 sierpnia 2009 r. o finansach publicznych </w:t>
      </w:r>
      <w:r>
        <w:rPr>
          <w:b/>
          <w:bCs/>
          <w:i/>
          <w:iCs/>
        </w:rPr>
        <w:t>2.636.494,89  zł</w:t>
      </w:r>
    </w:p>
    <w:p w:rsidR="001D5234" w:rsidRDefault="001D5234" w:rsidP="001D5234">
      <w:pPr>
        <w:widowControl w:val="0"/>
        <w:numPr>
          <w:ilvl w:val="0"/>
          <w:numId w:val="6"/>
        </w:numPr>
        <w:tabs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1560" w:hanging="567"/>
        <w:jc w:val="both"/>
        <w:rPr>
          <w:color w:val="333333"/>
        </w:rPr>
      </w:pPr>
      <w:r>
        <w:rPr>
          <w:color w:val="333333"/>
        </w:rPr>
        <w:t xml:space="preserve">pozostałe wydatki majątkowe </w:t>
      </w:r>
      <w:r>
        <w:rPr>
          <w:b/>
          <w:bCs/>
          <w:i/>
          <w:iCs/>
        </w:rPr>
        <w:t xml:space="preserve">48.000,00 zł </w:t>
      </w:r>
    </w:p>
    <w:p w:rsidR="001D5234" w:rsidRDefault="001D5234" w:rsidP="001D5234">
      <w:pPr>
        <w:pStyle w:val="Akapitzlist"/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09" w:hanging="567"/>
        <w:jc w:val="both"/>
        <w:rPr>
          <w:bCs/>
          <w:iCs/>
          <w:color w:val="333333"/>
        </w:rPr>
      </w:pPr>
      <w:r>
        <w:rPr>
          <w:color w:val="333333"/>
        </w:rPr>
        <w:t xml:space="preserve">W wyniku zmian wskazanych w ust. 1 dochody i ust. 2 wydatki związane z realizacją zadań z zakresu administracji rządowej i innych zleconych jednostce samorządu terytorialnego odrębnymi ustawami wynoszą </w:t>
      </w:r>
      <w:r>
        <w:rPr>
          <w:b/>
          <w:bCs/>
          <w:i/>
          <w:iCs/>
          <w:color w:val="333333"/>
        </w:rPr>
        <w:t xml:space="preserve"> 6.</w:t>
      </w:r>
      <w:r w:rsidR="00F55D02">
        <w:rPr>
          <w:b/>
          <w:bCs/>
          <w:i/>
          <w:iCs/>
          <w:color w:val="333333"/>
        </w:rPr>
        <w:t>690.554,41</w:t>
      </w:r>
      <w:bookmarkStart w:id="0" w:name="_GoBack"/>
      <w:bookmarkEnd w:id="0"/>
      <w:r>
        <w:rPr>
          <w:b/>
          <w:bCs/>
          <w:i/>
          <w:iCs/>
          <w:color w:val="333333"/>
        </w:rPr>
        <w:t xml:space="preserve"> zł, </w:t>
      </w:r>
      <w:r>
        <w:rPr>
          <w:color w:val="333333"/>
        </w:rPr>
        <w:t xml:space="preserve">zgodnie z załącznikiem </w:t>
      </w:r>
      <w:r>
        <w:rPr>
          <w:b/>
          <w:bCs/>
          <w:i/>
          <w:iCs/>
          <w:color w:val="333333"/>
        </w:rPr>
        <w:t xml:space="preserve">Nr 3 i Nr 4  </w:t>
      </w:r>
      <w:r>
        <w:rPr>
          <w:color w:val="333333"/>
        </w:rPr>
        <w:t>do niniejszej uchwały.</w:t>
      </w:r>
    </w:p>
    <w:p w:rsidR="001D5234" w:rsidRDefault="001D5234" w:rsidP="001D5234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09" w:hanging="567"/>
        <w:jc w:val="both"/>
        <w:rPr>
          <w:b/>
          <w:bCs/>
          <w:i/>
          <w:iCs/>
          <w:color w:val="333333"/>
        </w:rPr>
      </w:pPr>
      <w:r>
        <w:rPr>
          <w:color w:val="333333"/>
        </w:rPr>
        <w:t xml:space="preserve">Wynik budżetu nie ulega zmianie i stanowi deficyt w wysokości </w:t>
      </w:r>
      <w:r>
        <w:rPr>
          <w:b/>
          <w:bCs/>
          <w:i/>
          <w:iCs/>
          <w:color w:val="000000"/>
        </w:rPr>
        <w:t xml:space="preserve"> 4.868.803,78</w:t>
      </w:r>
      <w:r>
        <w:rPr>
          <w:b/>
          <w:bCs/>
          <w:i/>
          <w:iCs/>
          <w:color w:val="333333"/>
        </w:rPr>
        <w:t xml:space="preserve"> zł, </w:t>
      </w:r>
      <w:r>
        <w:rPr>
          <w:bCs/>
          <w:iCs/>
          <w:color w:val="333333"/>
        </w:rPr>
        <w:t xml:space="preserve"> którego źródłem pokrycia są </w:t>
      </w:r>
      <w:r>
        <w:t>przychody pochodzące z</w:t>
      </w:r>
      <w:r w:rsidRPr="00DF4F2A">
        <w:t xml:space="preserve"> nadwyż</w:t>
      </w:r>
      <w:r>
        <w:t>ek</w:t>
      </w:r>
      <w:r w:rsidRPr="00DF4F2A">
        <w:t xml:space="preserve"> z lat ubiegłych w wysokości </w:t>
      </w:r>
      <w:r>
        <w:t>2.372.291,08</w:t>
      </w:r>
      <w:r w:rsidRPr="00DF4F2A">
        <w:t xml:space="preserve"> zł oraz niewykorzystane środki pieniężne, o których mowa w </w:t>
      </w:r>
      <w:r w:rsidRPr="00DF4F2A">
        <w:lastRenderedPageBreak/>
        <w:t xml:space="preserve">art. 217 ust. 2 pkt 8 </w:t>
      </w:r>
      <w:proofErr w:type="spellStart"/>
      <w:r w:rsidRPr="00DF4F2A">
        <w:t>ufp</w:t>
      </w:r>
      <w:proofErr w:type="spellEnd"/>
      <w:r w:rsidRPr="00DF4F2A">
        <w:t xml:space="preserve">. w wysokości </w:t>
      </w:r>
      <w:r>
        <w:t>2.496.512,70 zł (w tym: 1.600.000,29 zł Rządowy Fundusz Inwestycji Lokalnych)</w:t>
      </w:r>
      <w:r>
        <w:rPr>
          <w:bCs/>
          <w:iCs/>
          <w:color w:val="333333"/>
        </w:rPr>
        <w:t>.</w:t>
      </w:r>
    </w:p>
    <w:p w:rsidR="001D5234" w:rsidRDefault="001D5234" w:rsidP="001D523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jc w:val="both"/>
        <w:rPr>
          <w:b/>
          <w:bCs/>
          <w:i/>
          <w:iCs/>
          <w:color w:val="333333"/>
        </w:rPr>
      </w:pP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§ 2</w:t>
      </w: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333333"/>
        </w:rPr>
      </w:pP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Pozostałe ustalenia dotyczące budżetu Powiatu Węgorzewskiego na 2021 rok nie ulegają zmianie.</w:t>
      </w: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333333"/>
        </w:rPr>
      </w:pPr>
    </w:p>
    <w:p w:rsidR="001D5234" w:rsidRDefault="001D5234" w:rsidP="001D5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color w:val="333333"/>
        </w:rPr>
      </w:pPr>
      <w:r>
        <w:rPr>
          <w:b/>
          <w:bCs/>
          <w:color w:val="333333"/>
        </w:rPr>
        <w:t>§ 3</w:t>
      </w:r>
    </w:p>
    <w:p w:rsidR="001D5234" w:rsidRDefault="001D5234" w:rsidP="001D523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333333"/>
        </w:rPr>
      </w:pPr>
    </w:p>
    <w:p w:rsidR="001D5234" w:rsidRDefault="001D5234" w:rsidP="001D523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>Uchwała wchodzi w życie z dniem podjęcia i obowiązuje w roku budżetowym 2021.</w:t>
      </w:r>
    </w:p>
    <w:sectPr w:rsidR="001D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2383C70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ahoma" w:hAnsi="Tahoma" w:cs="Tahoma" w:hint="default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ascii="Tahoma" w:hAnsi="Tahoma" w:cs="Tahoma" w:hint="default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="Tahoma" w:hAnsi="Tahoma" w:cs="Tahoma" w:hint="default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5">
      <w:start w:val="1"/>
      <w:numFmt w:val="lowerLetter"/>
      <w:lvlText w:val="%6."/>
      <w:lvlJc w:val="left"/>
      <w:pPr>
        <w:ind w:left="2880" w:hanging="360"/>
      </w:pPr>
      <w:rPr>
        <w:rFonts w:ascii="Tahoma" w:hAnsi="Tahoma" w:cs="Tahoma" w:hint="default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3240" w:hanging="360"/>
      </w:pPr>
      <w:rPr>
        <w:rFonts w:ascii="Tahoma" w:hAnsi="Tahoma" w:cs="Tahoma" w:hint="default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ascii="Tahoma" w:hAnsi="Tahoma" w:cs="Tahoma" w:hint="default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8">
      <w:start w:val="1"/>
      <w:numFmt w:val="lowerLetter"/>
      <w:lvlText w:val="%9."/>
      <w:lvlJc w:val="left"/>
      <w:pPr>
        <w:ind w:left="3960" w:hanging="360"/>
      </w:pPr>
      <w:rPr>
        <w:rFonts w:ascii="Tahoma" w:hAnsi="Tahoma" w:cs="Tahoma" w:hint="default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color w:val="333333"/>
        <w:sz w:val="20"/>
        <w:szCs w:val="20"/>
        <w:u w:val="none"/>
        <w:effect w:val="none"/>
      </w:rPr>
    </w:lvl>
  </w:abstractNum>
  <w:abstractNum w:abstractNumId="2">
    <w:nsid w:val="27F112D4"/>
    <w:multiLevelType w:val="hybridMultilevel"/>
    <w:tmpl w:val="1E3AEA22"/>
    <w:lvl w:ilvl="0" w:tplc="04150019">
      <w:start w:val="1"/>
      <w:numFmt w:val="lowerLetter"/>
      <w:lvlText w:val="%1."/>
      <w:lvlJc w:val="left"/>
      <w:pPr>
        <w:ind w:left="2108" w:hanging="360"/>
      </w:pPr>
    </w:lvl>
    <w:lvl w:ilvl="1" w:tplc="04150019">
      <w:start w:val="1"/>
      <w:numFmt w:val="lowerLetter"/>
      <w:lvlText w:val="%2."/>
      <w:lvlJc w:val="left"/>
      <w:pPr>
        <w:ind w:left="2828" w:hanging="360"/>
      </w:pPr>
    </w:lvl>
    <w:lvl w:ilvl="2" w:tplc="0415001B">
      <w:start w:val="1"/>
      <w:numFmt w:val="lowerRoman"/>
      <w:lvlText w:val="%3."/>
      <w:lvlJc w:val="right"/>
      <w:pPr>
        <w:ind w:left="3548" w:hanging="180"/>
      </w:pPr>
    </w:lvl>
    <w:lvl w:ilvl="3" w:tplc="0415000F">
      <w:start w:val="1"/>
      <w:numFmt w:val="decimal"/>
      <w:lvlText w:val="%4."/>
      <w:lvlJc w:val="left"/>
      <w:pPr>
        <w:ind w:left="4268" w:hanging="360"/>
      </w:pPr>
    </w:lvl>
    <w:lvl w:ilvl="4" w:tplc="04150019">
      <w:start w:val="1"/>
      <w:numFmt w:val="lowerLetter"/>
      <w:lvlText w:val="%5."/>
      <w:lvlJc w:val="left"/>
      <w:pPr>
        <w:ind w:left="4988" w:hanging="360"/>
      </w:pPr>
    </w:lvl>
    <w:lvl w:ilvl="5" w:tplc="0415001B">
      <w:start w:val="1"/>
      <w:numFmt w:val="lowerRoman"/>
      <w:lvlText w:val="%6."/>
      <w:lvlJc w:val="right"/>
      <w:pPr>
        <w:ind w:left="5708" w:hanging="180"/>
      </w:pPr>
    </w:lvl>
    <w:lvl w:ilvl="6" w:tplc="0415000F">
      <w:start w:val="1"/>
      <w:numFmt w:val="decimal"/>
      <w:lvlText w:val="%7."/>
      <w:lvlJc w:val="left"/>
      <w:pPr>
        <w:ind w:left="6428" w:hanging="360"/>
      </w:pPr>
    </w:lvl>
    <w:lvl w:ilvl="7" w:tplc="04150019">
      <w:start w:val="1"/>
      <w:numFmt w:val="lowerLetter"/>
      <w:lvlText w:val="%8."/>
      <w:lvlJc w:val="left"/>
      <w:pPr>
        <w:ind w:left="7148" w:hanging="360"/>
      </w:pPr>
    </w:lvl>
    <w:lvl w:ilvl="8" w:tplc="0415001B">
      <w:start w:val="1"/>
      <w:numFmt w:val="lowerRoman"/>
      <w:lvlText w:val="%9."/>
      <w:lvlJc w:val="right"/>
      <w:pPr>
        <w:ind w:left="7868" w:hanging="180"/>
      </w:pPr>
    </w:lvl>
  </w:abstractNum>
  <w:abstractNum w:abstractNumId="3">
    <w:nsid w:val="2FEE78A8"/>
    <w:multiLevelType w:val="hybridMultilevel"/>
    <w:tmpl w:val="43ACAECC"/>
    <w:lvl w:ilvl="0" w:tplc="0415000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468" w:hanging="360"/>
      </w:pPr>
      <w:rPr>
        <w:rFonts w:ascii="Wingdings" w:hAnsi="Wingdings" w:hint="default"/>
      </w:rPr>
    </w:lvl>
  </w:abstractNum>
  <w:abstractNum w:abstractNumId="4">
    <w:nsid w:val="32E00A88"/>
    <w:multiLevelType w:val="hybridMultilevel"/>
    <w:tmpl w:val="D3C4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B64E0"/>
    <w:multiLevelType w:val="hybridMultilevel"/>
    <w:tmpl w:val="EB42E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EE1DF2"/>
    <w:multiLevelType w:val="hybridMultilevel"/>
    <w:tmpl w:val="34B4240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64B830EA"/>
    <w:multiLevelType w:val="hybridMultilevel"/>
    <w:tmpl w:val="6524A5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0274D"/>
    <w:multiLevelType w:val="hybridMultilevel"/>
    <w:tmpl w:val="CEE8460C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39"/>
    <w:rsid w:val="001D5234"/>
    <w:rsid w:val="002C4439"/>
    <w:rsid w:val="0052430A"/>
    <w:rsid w:val="006D5548"/>
    <w:rsid w:val="009C74D2"/>
    <w:rsid w:val="00F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Dorota Sakowska</cp:lastModifiedBy>
  <cp:revision>5</cp:revision>
  <cp:lastPrinted>2021-09-14T13:35:00Z</cp:lastPrinted>
  <dcterms:created xsi:type="dcterms:W3CDTF">2021-09-14T13:27:00Z</dcterms:created>
  <dcterms:modified xsi:type="dcterms:W3CDTF">2021-09-14T13:35:00Z</dcterms:modified>
</cp:coreProperties>
</file>