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C" w:rsidRPr="00BA7EE5" w:rsidRDefault="006509A3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 nr 7</w:t>
      </w:r>
      <w:r w:rsidR="006A54DC"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581B84" w:rsidRPr="003F1144" w:rsidRDefault="00581B84" w:rsidP="00581B8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awarta w Węgorzewie, dnia…………2018 r. pomiędzy: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Powiatem Węgorzewskim w imieniu którego działa Zarząd Powiatu w Węgorzewie, 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11-600 Węgorzewo, ul. 3 Maj</w:t>
      </w:r>
      <w:r>
        <w:rPr>
          <w:sz w:val="24"/>
          <w:szCs w:val="24"/>
        </w:rPr>
        <w:t>a 17B, REGON 519634591; NIP 84518620</w:t>
      </w:r>
      <w:r w:rsidRPr="003F114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F1144">
        <w:rPr>
          <w:sz w:val="24"/>
          <w:szCs w:val="24"/>
        </w:rPr>
        <w:t>którego reprezentują: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1. Halina Faj – Starosta Węgorzewski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2. Krzysztof Kołaszewski– Wicestarosta</w:t>
      </w:r>
    </w:p>
    <w:p w:rsidR="00581B84" w:rsidRPr="003F1144" w:rsidRDefault="00581B84" w:rsidP="00581B84">
      <w:pPr>
        <w:tabs>
          <w:tab w:val="left" w:pos="6480"/>
        </w:tabs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przy kontrasygnacie Skarbnika Powiatu – Doroty Agnieszki Sakowskiej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E20502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udzielenia zamówienia publicznego w oparciu o ustawę z dnia 29 stycznia 2004 r. Prawo zamówień publicznych (t.</w:t>
      </w:r>
      <w:r w:rsidR="00DC5A44">
        <w:rPr>
          <w:rFonts w:eastAsia="Calibri"/>
          <w:sz w:val="24"/>
          <w:szCs w:val="24"/>
          <w:lang w:eastAsia="ar-SA"/>
        </w:rPr>
        <w:t xml:space="preserve">j. Dz. U. z 2017 r. poz. 1579 ze </w:t>
      </w:r>
      <w:r>
        <w:rPr>
          <w:rFonts w:eastAsia="Calibri"/>
          <w:sz w:val="24"/>
          <w:szCs w:val="24"/>
          <w:lang w:eastAsia="ar-SA"/>
        </w:rPr>
        <w:t xml:space="preserve">zm.) </w:t>
      </w:r>
      <w:r w:rsidR="00F6510E"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pn.</w:t>
      </w:r>
      <w:r w:rsidR="00BA7EE5" w:rsidRPr="00BA7EE5">
        <w:rPr>
          <w:rFonts w:eastAsia="Calibri"/>
          <w:sz w:val="24"/>
          <w:szCs w:val="24"/>
        </w:rPr>
        <w:t xml:space="preserve">: </w:t>
      </w:r>
      <w:r w:rsidR="00FB7FAC">
        <w:rPr>
          <w:rFonts w:eastAsia="Calibri"/>
          <w:sz w:val="24"/>
          <w:szCs w:val="24"/>
        </w:rPr>
        <w:t>„</w:t>
      </w:r>
      <w:r w:rsidR="00FB7FAC">
        <w:rPr>
          <w:rFonts w:eastAsia="Calibri"/>
          <w:b/>
          <w:color w:val="000000"/>
          <w:sz w:val="24"/>
          <w:szCs w:val="24"/>
          <w:lang w:eastAsia="en-US"/>
        </w:rPr>
        <w:t xml:space="preserve">Termomodernizacja budynku Starostwa Powiatowego w Węgorzewie”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="00E20502">
        <w:rPr>
          <w:rFonts w:eastAsia="Calibri"/>
          <w:sz w:val="24"/>
          <w:szCs w:val="24"/>
        </w:rPr>
        <w:t xml:space="preserve"> </w:t>
      </w:r>
      <w:r w:rsidRPr="00BA7EE5">
        <w:rPr>
          <w:rFonts w:eastAsia="Calibri"/>
          <w:sz w:val="24"/>
          <w:szCs w:val="24"/>
        </w:rPr>
        <w:t xml:space="preserve">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E20502">
        <w:rPr>
          <w:rFonts w:eastAsia="Calibri"/>
          <w:sz w:val="24"/>
          <w:szCs w:val="24"/>
        </w:rPr>
        <w:t xml:space="preserve">specyfikacji istotnych warunków zamówienia obejmujący opis przedmiotu zamówienia, </w:t>
      </w:r>
      <w:r w:rsidRPr="00BA7EE5">
        <w:rPr>
          <w:rFonts w:eastAsia="Calibri"/>
          <w:sz w:val="24"/>
          <w:szCs w:val="24"/>
        </w:rPr>
        <w:t>dokume</w:t>
      </w:r>
      <w:r w:rsidR="00E20502">
        <w:rPr>
          <w:rFonts w:eastAsia="Calibri"/>
          <w:sz w:val="24"/>
          <w:szCs w:val="24"/>
        </w:rPr>
        <w:t>ntację projektową</w:t>
      </w:r>
      <w:r w:rsidR="001804AA" w:rsidRPr="00BA7EE5">
        <w:rPr>
          <w:rFonts w:eastAsia="Calibri"/>
          <w:sz w:val="24"/>
          <w:szCs w:val="24"/>
        </w:rPr>
        <w:t xml:space="preserve"> </w:t>
      </w:r>
      <w:r w:rsidR="00E20502">
        <w:rPr>
          <w:rFonts w:eastAsia="Calibri"/>
          <w:sz w:val="24"/>
          <w:szCs w:val="24"/>
        </w:rPr>
        <w:t>i specyfikację techniczną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D4543E" w:rsidRDefault="006A54DC" w:rsidP="00D4543E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obowiązującymi przepisami i polskimi normami oraz oddania przedmiotu niniejszej umowy Zamawiającemu w terminie w niej uzgodnionym.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28710D">
      <w:pPr>
        <w:pStyle w:val="Akapitzlist"/>
        <w:numPr>
          <w:ilvl w:val="0"/>
          <w:numId w:val="36"/>
        </w:numPr>
        <w:ind w:left="426" w:hanging="426"/>
        <w:rPr>
          <w:b/>
        </w:rPr>
      </w:pPr>
      <w:r>
        <w:t>Wykonawca wykona przedmiot zamówienia w terminie</w:t>
      </w:r>
      <w:r w:rsidR="001F2F47">
        <w:t xml:space="preserve"> do </w:t>
      </w:r>
      <w:r w:rsidR="00710B4C">
        <w:t xml:space="preserve">dnia </w:t>
      </w:r>
      <w:r w:rsidR="005D4CB2">
        <w:rPr>
          <w:b/>
        </w:rPr>
        <w:t>30</w:t>
      </w:r>
      <w:r w:rsidR="00FB7FAC">
        <w:rPr>
          <w:b/>
        </w:rPr>
        <w:t xml:space="preserve"> </w:t>
      </w:r>
      <w:r w:rsidR="00CB0CB0">
        <w:rPr>
          <w:b/>
        </w:rPr>
        <w:t>czerwca</w:t>
      </w:r>
      <w:r w:rsidR="00D27B25">
        <w:rPr>
          <w:b/>
        </w:rPr>
        <w:t xml:space="preserve"> 2019</w:t>
      </w:r>
      <w:r w:rsidR="001F2F47" w:rsidRPr="001F2F47">
        <w:rPr>
          <w:b/>
        </w:rPr>
        <w:t xml:space="preserve"> r.</w:t>
      </w:r>
    </w:p>
    <w:p w:rsidR="00A15BA2" w:rsidRPr="00D4543E" w:rsidRDefault="00E20502" w:rsidP="00D4543E">
      <w:pPr>
        <w:pStyle w:val="Akapitzlist"/>
        <w:numPr>
          <w:ilvl w:val="0"/>
          <w:numId w:val="36"/>
        </w:numPr>
        <w:ind w:left="426" w:hanging="426"/>
      </w:pPr>
      <w:r w:rsidRPr="00E20502">
        <w:t>Za datę zakończenia robót przyjmuje się datę pisemnego zgłoszenia Zamawiającemu gotowości do odbioru wykonanych robót budowlanych</w:t>
      </w:r>
      <w:r w:rsidR="00706E60">
        <w:t>.</w:t>
      </w:r>
      <w:r w:rsidRPr="00E20502">
        <w:t xml:space="preserve"> </w:t>
      </w: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E20502" w:rsidRDefault="00E20502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wskaże miejsce zorganizowania zaplecza magazynowego.</w:t>
      </w:r>
    </w:p>
    <w:p w:rsidR="006A54DC" w:rsidRPr="005A0C41" w:rsidRDefault="00E20502" w:rsidP="005A0C4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Zamawiający nie ponosi odpowiedzialności za mienie Wykonawcy zgromadzone na terenie wykonywanych robót, w tym w zapleczu magazynowym.</w:t>
      </w:r>
      <w:r w:rsidR="00695B20">
        <w:rPr>
          <w:rFonts w:eastAsia="Calibri"/>
          <w:sz w:val="24"/>
          <w:szCs w:val="24"/>
        </w:rPr>
        <w:t xml:space="preserve">  </w:t>
      </w: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7D533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  <w:r w:rsidR="0031112E">
        <w:rPr>
          <w:rFonts w:eastAsia="Calibri"/>
          <w:sz w:val="24"/>
          <w:szCs w:val="24"/>
        </w:rPr>
        <w:t xml:space="preserve"> </w:t>
      </w:r>
    </w:p>
    <w:p w:rsidR="006A54DC" w:rsidRPr="00C45370" w:rsidRDefault="0031112E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Utrzymanie terenu budowy i stanowisk roboczych w stanie wolnym od przeszkód komunikacyjnych.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30572E">
        <w:rPr>
          <w:rFonts w:eastAsia="Calibri"/>
          <w:sz w:val="24"/>
          <w:szCs w:val="24"/>
        </w:rPr>
        <w:t>wo budowlane (t.j. Dz. U. z 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0572E">
        <w:rPr>
          <w:rFonts w:eastAsia="Calibri"/>
          <w:sz w:val="24"/>
          <w:szCs w:val="24"/>
        </w:rPr>
        <w:t>1</w:t>
      </w:r>
      <w:r w:rsidR="00962B6A">
        <w:rPr>
          <w:rFonts w:eastAsia="Calibri"/>
          <w:sz w:val="24"/>
          <w:szCs w:val="24"/>
        </w:rPr>
        <w:t>332</w:t>
      </w:r>
      <w:r w:rsidRPr="00C45370">
        <w:rPr>
          <w:rFonts w:eastAsia="Calibri"/>
          <w:sz w:val="24"/>
          <w:szCs w:val="24"/>
        </w:rPr>
        <w:t>), okazania, na każde żądanie Zamawiającego, 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E50BD3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E50BD3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D27B25">
        <w:rPr>
          <w:rFonts w:eastAsia="Calibri"/>
          <w:sz w:val="24"/>
          <w:szCs w:val="24"/>
        </w:rPr>
        <w:t>992</w:t>
      </w:r>
      <w:r w:rsidR="001649F9">
        <w:rPr>
          <w:rFonts w:eastAsia="Calibri"/>
          <w:sz w:val="24"/>
          <w:szCs w:val="24"/>
        </w:rPr>
        <w:t xml:space="preserve">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</w:t>
      </w:r>
      <w:r w:rsidR="00D27B25">
        <w:rPr>
          <w:rFonts w:eastAsia="Calibri"/>
          <w:sz w:val="24"/>
          <w:szCs w:val="24"/>
        </w:rPr>
        <w:t>egania przepisów BHP, ochronę p</w:t>
      </w:r>
      <w:r w:rsidRPr="00C45370">
        <w:rPr>
          <w:rFonts w:eastAsia="Calibri"/>
          <w:sz w:val="24"/>
          <w:szCs w:val="24"/>
        </w:rPr>
        <w:t>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7D5330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Uporządkowanie terenu budowy po zakończeniu robót, zaplecza budowy, jak również terenów sąsiadujących zajętych lub użytkowanych przez Wykonawcę w tym </w:t>
      </w:r>
      <w:r w:rsidRPr="00C45370">
        <w:rPr>
          <w:rFonts w:eastAsia="Calibri"/>
          <w:sz w:val="24"/>
          <w:szCs w:val="24"/>
        </w:rPr>
        <w:lastRenderedPageBreak/>
        <w:t>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</w:t>
      </w:r>
      <w:r w:rsidR="00710B4C">
        <w:rPr>
          <w:rFonts w:eastAsia="Calibri"/>
          <w:sz w:val="24"/>
          <w:szCs w:val="24"/>
        </w:rPr>
        <w:t>Zamawiającego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</w:t>
      </w:r>
      <w:r w:rsidR="006619C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</w:t>
      </w:r>
      <w:r w:rsidR="00282201">
        <w:rPr>
          <w:rFonts w:eastAsia="Calibri"/>
          <w:sz w:val="24"/>
          <w:szCs w:val="24"/>
        </w:rPr>
        <w:t>ie zasad bezpieczeństwa, BHP, p</w:t>
      </w:r>
      <w:r w:rsidRPr="00C45370">
        <w:rPr>
          <w:rFonts w:eastAsia="Calibri"/>
          <w:sz w:val="24"/>
          <w:szCs w:val="24"/>
        </w:rPr>
        <w:t>poż.</w:t>
      </w:r>
    </w:p>
    <w:p w:rsidR="00613449" w:rsidRPr="006619C5" w:rsidRDefault="00613449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color w:val="000000" w:themeColor="text1"/>
          <w:sz w:val="24"/>
          <w:szCs w:val="24"/>
        </w:rPr>
      </w:pPr>
      <w:r w:rsidRPr="006619C5">
        <w:rPr>
          <w:color w:val="000000" w:themeColor="text1"/>
          <w:sz w:val="24"/>
          <w:szCs w:val="24"/>
        </w:rPr>
        <w:t>Z uwagi na ciągłość pracy Starostwa Powiatowego w Węgorzewie Wykonawca, podczas wykonywania przedmiotu zamówienia, zobowiązany będzie do zapewnienia możliwości bezpiecznego  korzystania z budynku.</w:t>
      </w:r>
    </w:p>
    <w:p w:rsidR="006A54DC" w:rsidRPr="00D4543E" w:rsidRDefault="0028517E" w:rsidP="00D4543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FB7FAC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zobowiązany jest do prowadzenia dziennika budowy.</w:t>
      </w:r>
    </w:p>
    <w:p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:rsidR="0093229F" w:rsidRDefault="0093229F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87CFB">
        <w:rPr>
          <w:rFonts w:eastAsia="ArialMT"/>
          <w:color w:val="000000"/>
          <w:sz w:val="24"/>
          <w:szCs w:val="24"/>
        </w:rPr>
        <w:t xml:space="preserve">Kierownik </w:t>
      </w:r>
      <w:r>
        <w:rPr>
          <w:rFonts w:eastAsia="ArialMT"/>
          <w:color w:val="000000"/>
          <w:sz w:val="24"/>
          <w:szCs w:val="24"/>
        </w:rPr>
        <w:t>budowy</w:t>
      </w:r>
      <w:r w:rsidRPr="00587CFB">
        <w:rPr>
          <w:rFonts w:eastAsia="ArialMT"/>
          <w:color w:val="000000"/>
          <w:sz w:val="24"/>
          <w:szCs w:val="24"/>
        </w:rPr>
        <w:t xml:space="preserve"> będzie pełnił funkcję koordynatora ds. bezpieczeństwa i higieny pracy, zgodnie z art. 208 ustawy z dnia 26 czerwca 1974 r. Kodeks pracy.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30572E">
        <w:rPr>
          <w:rFonts w:eastAsia="Calibri"/>
          <w:sz w:val="24"/>
          <w:szCs w:val="24"/>
        </w:rPr>
        <w:t>iązki kierownika budowy</w:t>
      </w:r>
      <w:r w:rsidR="0093229F">
        <w:rPr>
          <w:rFonts w:eastAsia="Calibri"/>
          <w:sz w:val="24"/>
          <w:szCs w:val="24"/>
        </w:rPr>
        <w:t xml:space="preserve"> </w:t>
      </w:r>
      <w:r w:rsidR="000B1A9B">
        <w:rPr>
          <w:rFonts w:eastAsia="Calibri"/>
          <w:sz w:val="24"/>
          <w:szCs w:val="24"/>
        </w:rPr>
        <w:t>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581B84" w:rsidRDefault="00581B84" w:rsidP="00581B84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Marek Myka </w:t>
      </w:r>
      <w:r w:rsidRPr="00751B30">
        <w:rPr>
          <w:rFonts w:eastAsia="Arial-BoldMT"/>
          <w:bCs/>
          <w:color w:val="000000"/>
        </w:rPr>
        <w:t xml:space="preserve"> </w:t>
      </w:r>
      <w:r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Naczelnik Wydziału Środowiska, Budownictwa i Inwestycji,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Kierownik Budowy ……………………………………………………………….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 xml:space="preserve">(słownie  </w:t>
      </w:r>
      <w:r w:rsidRPr="00F030F2">
        <w:rPr>
          <w:rFonts w:eastAsia="Calibri"/>
          <w:i/>
          <w:sz w:val="24"/>
          <w:szCs w:val="24"/>
        </w:rPr>
        <w:lastRenderedPageBreak/>
        <w:t>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173387" w:rsidRPr="000B1A9B" w:rsidRDefault="006A54DC" w:rsidP="000B1A9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7D5330" w:rsidRDefault="007D5330" w:rsidP="007D533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Płatność za wykonane roboty budowlane zostanie dokonana w dwóch etapach.</w:t>
      </w:r>
    </w:p>
    <w:p w:rsidR="007D5330" w:rsidRDefault="006349A1" w:rsidP="007D5330">
      <w:pPr>
        <w:pStyle w:val="Akapitzlist"/>
        <w:numPr>
          <w:ilvl w:val="0"/>
          <w:numId w:val="40"/>
        </w:numPr>
        <w:tabs>
          <w:tab w:val="num" w:pos="993"/>
        </w:tabs>
        <w:ind w:left="567" w:hanging="283"/>
      </w:pPr>
      <w:r>
        <w:t xml:space="preserve">w roku 2018 </w:t>
      </w:r>
      <w:r w:rsidR="007D5330">
        <w:t>po wykonaniu I etapu robót na podstawie prot</w:t>
      </w:r>
      <w:r w:rsidR="00102117">
        <w:t>okołu częściowego odbioru robót zgodnie z harmonogramem rzeczowo – finansowym,</w:t>
      </w:r>
    </w:p>
    <w:p w:rsidR="007D5330" w:rsidRPr="004D728F" w:rsidRDefault="006349A1" w:rsidP="007D5330">
      <w:pPr>
        <w:pStyle w:val="Akapitzlist"/>
        <w:numPr>
          <w:ilvl w:val="0"/>
          <w:numId w:val="40"/>
        </w:numPr>
        <w:tabs>
          <w:tab w:val="num" w:pos="993"/>
        </w:tabs>
        <w:ind w:left="567" w:hanging="283"/>
      </w:pPr>
      <w:r>
        <w:t xml:space="preserve">w roku 2019 </w:t>
      </w:r>
      <w:r w:rsidR="007D5330">
        <w:t>po wykonaniu całego zakresu robót na podstawie protokołu</w:t>
      </w:r>
      <w:r w:rsidR="00102117">
        <w:t xml:space="preserve"> odbioru końcowego zgodnie z harmonogramem rzeczowo – finansowym.</w:t>
      </w:r>
    </w:p>
    <w:p w:rsidR="006A54DC" w:rsidRPr="00F030F2" w:rsidRDefault="006A54DC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73387">
        <w:rPr>
          <w:rFonts w:eastAsia="Calibri"/>
          <w:sz w:val="24"/>
          <w:szCs w:val="24"/>
        </w:rPr>
        <w:t>boty nastąpi w oparciu o fakturę końcową wystawioną</w:t>
      </w:r>
      <w:r w:rsidR="00DF1369">
        <w:rPr>
          <w:rFonts w:eastAsia="Calibri"/>
          <w:sz w:val="24"/>
          <w:szCs w:val="24"/>
        </w:rPr>
        <w:t xml:space="preserve">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:rsidR="006A54DC" w:rsidRDefault="00187351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Protokoł</w:t>
      </w:r>
      <w:r>
        <w:rPr>
          <w:rFonts w:eastAsia="Calibri"/>
          <w:sz w:val="24"/>
          <w:szCs w:val="24"/>
        </w:rPr>
        <w:t>y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</w:t>
      </w:r>
      <w:r w:rsidR="00DF1369">
        <w:rPr>
          <w:rFonts w:eastAsia="Calibri"/>
          <w:sz w:val="24"/>
          <w:szCs w:val="24"/>
        </w:rPr>
        <w:t xml:space="preserve"> częściowego i </w:t>
      </w:r>
      <w:r>
        <w:rPr>
          <w:rFonts w:eastAsia="Calibri"/>
          <w:sz w:val="24"/>
          <w:szCs w:val="24"/>
        </w:rPr>
        <w:t xml:space="preserve"> końcowego robót sporządzone będą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(robót), przedstawicieli Wykonawcy, członków Komisji odbiorowej oraz ewentualnie innych przedstawicieli Zamawiającego.</w:t>
      </w:r>
    </w:p>
    <w:p w:rsidR="00FC7E5E" w:rsidRPr="00FC7E5E" w:rsidRDefault="007D5330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Faktury</w:t>
      </w:r>
      <w:r w:rsidR="00FC7E5E" w:rsidRPr="00F775CD">
        <w:rPr>
          <w:color w:val="000000" w:themeColor="text1"/>
          <w:sz w:val="24"/>
          <w:szCs w:val="24"/>
        </w:rPr>
        <w:t xml:space="preserve"> należy wystawić na: Nabywca: Powiat Węgorzewski ul. 3 Maja 17B, 11-600 Węgorzewo, NIP: 845-18-62-015. Odbiorca: Starostwo Powiatowe w Węgorzewie, ul. 3 Maja 17B, 11-600 Węgorzewo.</w:t>
      </w:r>
    </w:p>
    <w:p w:rsidR="006A54DC" w:rsidRPr="00F030F2" w:rsidRDefault="006A54DC" w:rsidP="007D5330">
      <w:pPr>
        <w:numPr>
          <w:ilvl w:val="0"/>
          <w:numId w:val="40"/>
        </w:numPr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7D5330">
        <w:rPr>
          <w:rFonts w:eastAsia="Calibri"/>
          <w:sz w:val="24"/>
          <w:szCs w:val="24"/>
        </w:rPr>
        <w:t xml:space="preserve">do </w:t>
      </w:r>
      <w:r w:rsidR="00613449" w:rsidRPr="006619C5">
        <w:rPr>
          <w:rFonts w:eastAsia="Calibri"/>
          <w:color w:val="000000" w:themeColor="text1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30572E">
        <w:rPr>
          <w:rFonts w:eastAsia="Calibri"/>
          <w:sz w:val="24"/>
          <w:szCs w:val="24"/>
        </w:rPr>
        <w:t>wskazane na fakturze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613449">
        <w:rPr>
          <w:rFonts w:eastAsia="Calibri"/>
          <w:sz w:val="24"/>
          <w:szCs w:val="24"/>
        </w:rPr>
        <w:t xml:space="preserve"> </w:t>
      </w:r>
      <w:r w:rsidR="00613449" w:rsidRPr="006619C5">
        <w:rPr>
          <w:rFonts w:eastAsia="Calibri"/>
          <w:color w:val="000000" w:themeColor="text1"/>
          <w:sz w:val="24"/>
          <w:szCs w:val="24"/>
        </w:rPr>
        <w:t>6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</w:t>
      </w:r>
      <w:r w:rsidRPr="00F030F2">
        <w:rPr>
          <w:rFonts w:eastAsia="Calibri"/>
          <w:sz w:val="24"/>
          <w:szCs w:val="24"/>
        </w:rPr>
        <w:lastRenderedPageBreak/>
        <w:t>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962B6A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razie wniesienia uwag, w</w:t>
      </w:r>
      <w:r w:rsidR="006A54DC" w:rsidRPr="00F030F2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>.</w:t>
      </w:r>
      <w:r w:rsidR="006A54DC" w:rsidRPr="00F030F2">
        <w:rPr>
          <w:rFonts w:eastAsia="Calibri"/>
          <w:sz w:val="24"/>
          <w:szCs w:val="24"/>
        </w:rPr>
        <w:t xml:space="preserve">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D4543E" w:rsidRDefault="006A54DC" w:rsidP="007D5330">
      <w:pPr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2713EA" w:rsidRDefault="002713EA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odbiór częściowy,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2713EA" w:rsidRPr="002713EA" w:rsidRDefault="002713EA" w:rsidP="002713E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Odbiór częściowy zostanie dokonany po wykonaniu I etapu robót budowanych w roku 2018 r. </w:t>
      </w:r>
      <w:r w:rsidR="007D5330">
        <w:rPr>
          <w:rFonts w:eastAsia="Calibri"/>
          <w:sz w:val="24"/>
          <w:szCs w:val="24"/>
        </w:rPr>
        <w:t>po dokonaniu zgłoszenia Zamawia</w:t>
      </w:r>
      <w:r w:rsidR="00710B4C">
        <w:rPr>
          <w:rFonts w:eastAsia="Calibri"/>
          <w:sz w:val="24"/>
          <w:szCs w:val="24"/>
        </w:rPr>
        <w:t xml:space="preserve">jącemu, nie później niż do dnia </w:t>
      </w:r>
      <w:r w:rsidR="007D5330">
        <w:rPr>
          <w:rFonts w:eastAsia="Calibri"/>
          <w:sz w:val="24"/>
          <w:szCs w:val="24"/>
        </w:rPr>
        <w:t xml:space="preserve">14 grudnia 2018 r. </w:t>
      </w:r>
    </w:p>
    <w:p w:rsidR="0061496E" w:rsidRPr="0061496E" w:rsidRDefault="00854F4C" w:rsidP="0061496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Wykona</w:t>
      </w:r>
      <w:r w:rsidR="00575BD4">
        <w:rPr>
          <w:rFonts w:eastAsia="ArialMT"/>
          <w:color w:val="000000"/>
          <w:sz w:val="24"/>
          <w:szCs w:val="24"/>
        </w:rPr>
        <w:t>w</w:t>
      </w:r>
      <w:r>
        <w:rPr>
          <w:rFonts w:eastAsia="ArialMT"/>
          <w:color w:val="000000"/>
          <w:sz w:val="24"/>
          <w:szCs w:val="24"/>
        </w:rPr>
        <w:t xml:space="preserve">ca zgłosi </w:t>
      </w:r>
      <w:r w:rsidR="00575BD4">
        <w:rPr>
          <w:rFonts w:eastAsia="ArialMT"/>
          <w:color w:val="000000"/>
          <w:sz w:val="24"/>
          <w:szCs w:val="24"/>
        </w:rPr>
        <w:t>Zamawiającemu</w:t>
      </w:r>
      <w:r>
        <w:rPr>
          <w:rFonts w:eastAsia="ArialMT"/>
          <w:color w:val="000000"/>
          <w:sz w:val="24"/>
          <w:szCs w:val="24"/>
        </w:rPr>
        <w:t xml:space="preserve"> gotowość do odbioru końcowego pisemnie b</w:t>
      </w:r>
      <w:r w:rsidR="00575BD4">
        <w:rPr>
          <w:rFonts w:eastAsia="ArialMT"/>
          <w:color w:val="000000"/>
          <w:sz w:val="24"/>
          <w:szCs w:val="24"/>
        </w:rPr>
        <w:t>ezpośrednio w siedzibie Zamawiając</w:t>
      </w:r>
      <w:r>
        <w:rPr>
          <w:rFonts w:eastAsia="ArialMT"/>
          <w:color w:val="000000"/>
          <w:sz w:val="24"/>
          <w:szCs w:val="24"/>
        </w:rPr>
        <w:t>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dokonanym przez kierownika budowy.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61496E" w:rsidRDefault="006A54DC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Dokumenty (atesty, certyfikaty) potwierdzające, że wbudowane wyroby budowlane są zgodne z art. 10 ustawy Prawo budowlane (opisane </w:t>
      </w:r>
      <w:r w:rsidR="0061496E">
        <w:rPr>
          <w:rFonts w:eastAsia="Calibri"/>
          <w:sz w:val="24"/>
          <w:szCs w:val="24"/>
        </w:rPr>
        <w:t xml:space="preserve">i </w:t>
      </w:r>
      <w:r w:rsidRPr="00777E39">
        <w:rPr>
          <w:rFonts w:eastAsia="Calibri"/>
          <w:sz w:val="24"/>
          <w:szCs w:val="24"/>
        </w:rPr>
        <w:t>ostemplowane przez Kierownika budowy/robót).</w:t>
      </w:r>
    </w:p>
    <w:p w:rsidR="0061496E" w:rsidRPr="0061496E" w:rsidRDefault="00575BD4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Kartę gwarancyjną.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Pr="00200163">
        <w:rPr>
          <w:rFonts w:eastAsia="Calibri"/>
          <w:color w:val="FF0000"/>
          <w:sz w:val="24"/>
          <w:szCs w:val="24"/>
        </w:rPr>
        <w:t xml:space="preserve"> </w:t>
      </w:r>
      <w:r w:rsidR="00D92B26">
        <w:rPr>
          <w:rFonts w:eastAsia="Calibri"/>
          <w:color w:val="000000" w:themeColor="text1"/>
          <w:sz w:val="24"/>
          <w:szCs w:val="24"/>
        </w:rPr>
        <w:t>3</w:t>
      </w:r>
      <w:r w:rsidR="0020016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dni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D92B26">
        <w:rPr>
          <w:rFonts w:eastAsia="Calibri"/>
          <w:color w:val="000000" w:themeColor="text1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D4543E" w:rsidRDefault="006A54DC" w:rsidP="006A54DC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 xml:space="preserve">st. </w:t>
      </w:r>
      <w:r w:rsidR="00613449" w:rsidRPr="00E35045">
        <w:rPr>
          <w:rFonts w:eastAsia="Calibri"/>
          <w:color w:val="000000" w:themeColor="text1"/>
          <w:sz w:val="24"/>
          <w:szCs w:val="24"/>
        </w:rPr>
        <w:t>1</w:t>
      </w:r>
      <w:r w:rsidR="00710B4C">
        <w:rPr>
          <w:rFonts w:eastAsia="Calibri"/>
          <w:color w:val="000000" w:themeColor="text1"/>
          <w:sz w:val="24"/>
          <w:szCs w:val="24"/>
        </w:rPr>
        <w:t>1</w:t>
      </w:r>
      <w:r w:rsidR="00613449">
        <w:rPr>
          <w:rFonts w:eastAsia="Calibri"/>
          <w:sz w:val="24"/>
          <w:szCs w:val="24"/>
        </w:rPr>
        <w:t xml:space="preserve"> </w:t>
      </w:r>
      <w:r w:rsidR="00710B4C">
        <w:rPr>
          <w:rFonts w:eastAsia="Calibri"/>
          <w:sz w:val="24"/>
          <w:szCs w:val="24"/>
        </w:rPr>
        <w:t>pkt 2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E65EFB" w:rsidRDefault="00207E3A" w:rsidP="004D3EA7">
      <w:pPr>
        <w:pStyle w:val="Akapitzlist"/>
        <w:numPr>
          <w:ilvl w:val="1"/>
          <w:numId w:val="16"/>
        </w:numPr>
        <w:ind w:left="709" w:hanging="283"/>
      </w:pPr>
      <w:r>
        <w:t>Z</w:t>
      </w:r>
      <w:r w:rsidR="00840A2B" w:rsidRPr="00E65EFB">
        <w:t>a zwł</w:t>
      </w:r>
      <w:r w:rsidR="006A54DC" w:rsidRPr="00E65EFB">
        <w:t>okę w zakończeniu wykonywania pr</w:t>
      </w:r>
      <w:r w:rsidR="009575B0">
        <w:t>zedmiotu umowy - w wysokości 0,1</w:t>
      </w:r>
      <w:r w:rsidR="006A54DC" w:rsidRPr="00E65EFB">
        <w:t>% wynagrodzenia brutto, określonego w §</w:t>
      </w:r>
      <w:r w:rsidR="00E17685" w:rsidRPr="00E65EFB">
        <w:t xml:space="preserve"> </w:t>
      </w:r>
      <w:r w:rsidR="006A54DC" w:rsidRPr="00E65EFB">
        <w:t xml:space="preserve">5 ust. 1 za każdy dzień </w:t>
      </w:r>
      <w:r w:rsidR="004D3EA7" w:rsidRPr="00E65EFB">
        <w:t>zwłoki,</w:t>
      </w:r>
      <w:r w:rsidR="009575B0" w:rsidRPr="009575B0">
        <w:t xml:space="preserve"> </w:t>
      </w:r>
      <w:r w:rsidR="009575B0" w:rsidRPr="00754B78">
        <w:t>lecz nie więcej niż 5% tego wynagrodzenia,</w:t>
      </w:r>
    </w:p>
    <w:p w:rsidR="006A54DC" w:rsidRPr="00C0320F" w:rsidRDefault="00207E3A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</w:t>
      </w:r>
      <w:r w:rsidR="006A54DC" w:rsidRPr="00C0320F">
        <w:rPr>
          <w:rFonts w:eastAsia="Calibri"/>
          <w:sz w:val="24"/>
          <w:szCs w:val="24"/>
        </w:rPr>
        <w:t>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</w:t>
      </w:r>
      <w:r w:rsidR="00710B4C">
        <w:rPr>
          <w:rFonts w:eastAsia="Calibri"/>
          <w:sz w:val="24"/>
          <w:szCs w:val="24"/>
        </w:rPr>
        <w:t>05</w:t>
      </w:r>
      <w:r w:rsidR="006A54DC"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  <w:r w:rsidR="009575B0" w:rsidRPr="009575B0">
        <w:rPr>
          <w:sz w:val="24"/>
          <w:szCs w:val="24"/>
        </w:rPr>
        <w:t xml:space="preserve"> </w:t>
      </w:r>
      <w:r w:rsidR="009575B0" w:rsidRPr="00754B78">
        <w:rPr>
          <w:sz w:val="24"/>
          <w:szCs w:val="24"/>
        </w:rPr>
        <w:t>lecz nie więcej niż 3% tego wynagrodzenia,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9575B0">
        <w:rPr>
          <w:rFonts w:eastAsia="Calibri"/>
          <w:sz w:val="24"/>
          <w:szCs w:val="24"/>
        </w:rPr>
        <w:t>zych Podwykonawcom w wysokości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4001C2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6A54DC" w:rsidRPr="00C0320F">
        <w:rPr>
          <w:rFonts w:eastAsia="Calibri"/>
          <w:sz w:val="24"/>
          <w:szCs w:val="24"/>
        </w:rPr>
        <w:t>tytułu nieprzedłużenia do</w:t>
      </w:r>
      <w:r>
        <w:rPr>
          <w:rFonts w:eastAsia="Calibri"/>
          <w:sz w:val="24"/>
          <w:szCs w:val="24"/>
        </w:rPr>
        <w:t xml:space="preserve"> zaakceptowania projektu umowy </w:t>
      </w:r>
      <w:r w:rsidR="006A54DC" w:rsidRPr="00C0320F">
        <w:rPr>
          <w:rFonts w:eastAsia="Calibri"/>
          <w:sz w:val="24"/>
          <w:szCs w:val="24"/>
        </w:rPr>
        <w:t>o podwykonawstwo  lub p</w:t>
      </w:r>
      <w:r w:rsidR="004B185E" w:rsidRPr="00C0320F">
        <w:rPr>
          <w:rFonts w:eastAsia="Calibri"/>
          <w:sz w:val="24"/>
          <w:szCs w:val="24"/>
        </w:rPr>
        <w:t>rojektu jej zmiany w wys</w:t>
      </w:r>
      <w:r w:rsidR="009575B0">
        <w:rPr>
          <w:rFonts w:eastAsia="Calibri"/>
          <w:sz w:val="24"/>
          <w:szCs w:val="24"/>
        </w:rPr>
        <w:t>okości 4</w:t>
      </w:r>
      <w:r w:rsidR="004D3EA7">
        <w:rPr>
          <w:rFonts w:eastAsia="Calibri"/>
          <w:sz w:val="24"/>
          <w:szCs w:val="24"/>
        </w:rPr>
        <w:t>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9575B0">
        <w:rPr>
          <w:rFonts w:eastAsia="Calibri"/>
          <w:sz w:val="24"/>
          <w:szCs w:val="24"/>
        </w:rPr>
        <w:t>wie lub jej zmiany w wysokości 4</w:t>
      </w:r>
      <w:r w:rsidR="004D3EA7">
        <w:rPr>
          <w:rFonts w:eastAsia="Calibri"/>
          <w:sz w:val="24"/>
          <w:szCs w:val="24"/>
        </w:rPr>
        <w:t>0</w:t>
      </w:r>
      <w:r w:rsidR="00FA731D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9575B0">
        <w:rPr>
          <w:rFonts w:eastAsia="Calibri"/>
          <w:sz w:val="24"/>
          <w:szCs w:val="24"/>
        </w:rPr>
        <w:t>płaty              w wysokości 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Default="006A54DC" w:rsidP="00D4543E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</w:t>
      </w:r>
      <w:r w:rsidR="00962B6A">
        <w:rPr>
          <w:rFonts w:eastAsia="Calibri"/>
          <w:sz w:val="24"/>
          <w:szCs w:val="24"/>
        </w:rPr>
        <w:t xml:space="preserve">onawca nie może zbywać na rzecz </w:t>
      </w:r>
      <w:r w:rsidRPr="00C0320F">
        <w:rPr>
          <w:rFonts w:eastAsia="Calibri"/>
          <w:sz w:val="24"/>
          <w:szCs w:val="24"/>
        </w:rPr>
        <w:t xml:space="preserve">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B02E08" w:rsidRPr="00D4543E" w:rsidRDefault="00B02E08" w:rsidP="00B02E08">
      <w:pPr>
        <w:ind w:left="284"/>
        <w:jc w:val="both"/>
        <w:rPr>
          <w:rFonts w:eastAsia="Calibri"/>
          <w:sz w:val="24"/>
          <w:szCs w:val="24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3E7EC4">
        <w:rPr>
          <w:rFonts w:eastAsia="Calibri"/>
          <w:sz w:val="24"/>
          <w:szCs w:val="24"/>
        </w:rPr>
        <w:t>14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 xml:space="preserve">Po bezskutecznym upływie tego terminu Zamawiający może od umowy odstąpić z winy Wykonawcy i powierzyć poprawienie lub dalsze wykonanie </w:t>
      </w:r>
      <w:r w:rsidRPr="00973B12">
        <w:rPr>
          <w:rFonts w:eastAsia="Calibri"/>
          <w:sz w:val="24"/>
          <w:szCs w:val="24"/>
        </w:rPr>
        <w:lastRenderedPageBreak/>
        <w:t>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4001C2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710B4C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................................................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</w:t>
      </w:r>
      <w:r w:rsidR="006A54DC" w:rsidRPr="002571D6">
        <w:rPr>
          <w:rFonts w:eastAsia="Calibri"/>
          <w:sz w:val="24"/>
          <w:szCs w:val="24"/>
        </w:rPr>
        <w:t>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</w:t>
      </w:r>
      <w:r w:rsidR="00575BD4">
        <w:rPr>
          <w:rFonts w:eastAsia="Calibri"/>
          <w:sz w:val="24"/>
          <w:szCs w:val="24"/>
        </w:rPr>
        <w:t xml:space="preserve">ze </w:t>
      </w:r>
      <w:r w:rsidRPr="002571D6">
        <w:rPr>
          <w:rFonts w:eastAsia="Calibri"/>
          <w:sz w:val="24"/>
          <w:szCs w:val="24"/>
        </w:rPr>
        <w:t>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2 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</w:t>
      </w:r>
      <w:r w:rsidRPr="002571D6">
        <w:rPr>
          <w:rFonts w:eastAsia="Calibri"/>
          <w:sz w:val="24"/>
          <w:szCs w:val="24"/>
        </w:rPr>
        <w:t xml:space="preserve">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</w:t>
      </w:r>
      <w:r w:rsidR="00E35045">
        <w:rPr>
          <w:rFonts w:eastAsia="Calibri"/>
          <w:sz w:val="24"/>
          <w:szCs w:val="24"/>
        </w:rPr>
        <w:t xml:space="preserve"> ust. 1</w:t>
      </w:r>
      <w:r w:rsidRPr="002571D6">
        <w:rPr>
          <w:rFonts w:eastAsia="Calibri"/>
          <w:sz w:val="24"/>
          <w:szCs w:val="24"/>
        </w:rPr>
        <w:t xml:space="preserve">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>ust</w:t>
      </w:r>
      <w:r w:rsidRPr="00E35045">
        <w:rPr>
          <w:rFonts w:eastAsia="Calibri"/>
          <w:sz w:val="24"/>
          <w:szCs w:val="24"/>
        </w:rPr>
        <w:t>.</w:t>
      </w:r>
      <w:r w:rsidR="00E35045" w:rsidRPr="00E35045">
        <w:rPr>
          <w:rFonts w:eastAsia="Calibri"/>
          <w:color w:val="FF0000"/>
          <w:sz w:val="24"/>
          <w:szCs w:val="24"/>
        </w:rPr>
        <w:t xml:space="preserve">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 xml:space="preserve">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>, z</w:t>
      </w:r>
      <w:r w:rsidR="00962B6A">
        <w:t>e</w:t>
      </w:r>
      <w:r w:rsidRPr="008C036B">
        <w:t xml:space="preserve">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30572E">
        <w:t>Dz. U. z 2018</w:t>
      </w:r>
      <w:r w:rsidRPr="008C036B">
        <w:t xml:space="preserve"> r. poz. </w:t>
      </w:r>
      <w:r w:rsidR="0030572E">
        <w:t>917 ze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lastRenderedPageBreak/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447930" w:rsidRPr="00447930" w:rsidRDefault="002F47AC" w:rsidP="00447930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35045" w:rsidRDefault="00E35045" w:rsidP="00E35045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t>p</w:t>
      </w:r>
      <w:r w:rsidR="00447930" w:rsidRPr="00E35045">
        <w:rPr>
          <w:rFonts w:cs="Calibri"/>
          <w:color w:val="000000" w:themeColor="text1"/>
        </w:rPr>
        <w:t>oświadczona za zgodność z oryginałem przez Wykonawcę lub Podwykonawcę kopia umowy/umów powinna zostać zanonimizowana w sposób zapewniający ochronę danych osobowych pracowników, (tj. w szczególności</w:t>
      </w:r>
      <w:r w:rsidR="00447930" w:rsidRPr="00E35045">
        <w:rPr>
          <w:rFonts w:cs="Calibri"/>
          <w:color w:val="000000" w:themeColor="text1"/>
          <w:vertAlign w:val="superscript"/>
        </w:rPr>
        <w:t xml:space="preserve"> </w:t>
      </w:r>
      <w:r w:rsidR="00447930" w:rsidRPr="00E35045">
        <w:rPr>
          <w:rFonts w:cs="Calibri"/>
          <w:color w:val="000000" w:themeColor="text1"/>
        </w:rPr>
        <w:t>bez adresów, nr PESEL pracowników). Imię i nazwisko pracownika nie podlega anonimizacji. Informacje takie jak: data zawarcia umowy, rodzaj umowy o pracę i wymiar etatu powinny być możliwe do zidentyfikowania</w:t>
      </w:r>
      <w:r w:rsidRPr="00E35045">
        <w:rPr>
          <w:rFonts w:cs="Calibri"/>
          <w:color w:val="000000" w:themeColor="text1"/>
        </w:rPr>
        <w:t>.</w:t>
      </w:r>
      <w:r w:rsidR="00EE4F02">
        <w:rPr>
          <w:b/>
          <w:color w:val="000000" w:themeColor="text1"/>
        </w:rPr>
        <w:t xml:space="preserve"> 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9575B0">
        <w:t>4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9575B0">
        <w:t>czterysta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FC7E5E" w:rsidRPr="00F775CD" w:rsidRDefault="00FC7E5E" w:rsidP="00FC7E5E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FC7E5E" w:rsidRDefault="00FC7E5E" w:rsidP="005F7849">
      <w:pPr>
        <w:jc w:val="center"/>
        <w:rPr>
          <w:rFonts w:eastAsia="Calibri"/>
          <w:b/>
          <w:sz w:val="24"/>
          <w:szCs w:val="24"/>
        </w:rPr>
      </w:pPr>
    </w:p>
    <w:p w:rsidR="00FC7E5E" w:rsidRPr="005F7849" w:rsidRDefault="00FC7E5E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14</w:t>
      </w:r>
    </w:p>
    <w:p w:rsidR="00FB7FAC" w:rsidRPr="00213932" w:rsidRDefault="00FB7FAC" w:rsidP="00FB7FAC">
      <w:pPr>
        <w:pStyle w:val="Tekstpodstawowy"/>
        <w:numPr>
          <w:ilvl w:val="1"/>
          <w:numId w:val="39"/>
        </w:numPr>
        <w:tabs>
          <w:tab w:val="clear" w:pos="567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lastRenderedPageBreak/>
        <w:t>Zamawiający przewiduje możliwość dokonania zmian postanowień umowy w stosunku do treści oferty na podstawie, której dokonano wyboru wykonawcy w przypadku wystąpienia następujących okoliczności:</w:t>
      </w:r>
    </w:p>
    <w:p w:rsidR="00FB7FAC" w:rsidRDefault="00FB7FAC" w:rsidP="00FB7FAC">
      <w:pPr>
        <w:pStyle w:val="Tekstpodstawowy"/>
        <w:numPr>
          <w:ilvl w:val="2"/>
          <w:numId w:val="38"/>
        </w:numPr>
        <w:tabs>
          <w:tab w:val="clear" w:pos="2160"/>
          <w:tab w:val="clear" w:pos="3119"/>
          <w:tab w:val="center" w:pos="284"/>
        </w:tabs>
        <w:ind w:left="284" w:hanging="142"/>
        <w:rPr>
          <w:b w:val="0"/>
          <w:i w:val="0"/>
        </w:rPr>
      </w:pPr>
      <w:r>
        <w:rPr>
          <w:b w:val="0"/>
          <w:i w:val="0"/>
        </w:rPr>
        <w:t>w zakresie zmiany wynagrodzenia, gdy zmiana ta związana jest ze:</w:t>
      </w:r>
    </w:p>
    <w:p w:rsidR="00FB7FAC" w:rsidRPr="00213932" w:rsidRDefault="00FB7FAC" w:rsidP="00FB7FAC">
      <w:pPr>
        <w:pStyle w:val="Tekstpodstawowy"/>
        <w:tabs>
          <w:tab w:val="clear" w:pos="3119"/>
          <w:tab w:val="center" w:pos="567"/>
        </w:tabs>
        <w:ind w:left="567" w:hanging="283"/>
        <w:rPr>
          <w:b w:val="0"/>
          <w:i w:val="0"/>
        </w:rPr>
      </w:pPr>
      <w:r>
        <w:rPr>
          <w:b w:val="0"/>
          <w:i w:val="0"/>
        </w:rPr>
        <w:t>a) zmniejszeniem zakresu robót przewidzianego umową,</w:t>
      </w:r>
    </w:p>
    <w:p w:rsidR="00FB7FAC" w:rsidRDefault="00FB7FAC" w:rsidP="00FB7FAC">
      <w:pPr>
        <w:pStyle w:val="Tekstpodstawowy"/>
        <w:ind w:left="-23"/>
        <w:rPr>
          <w:b w:val="0"/>
          <w:i w:val="0"/>
        </w:rPr>
      </w:pPr>
      <w:r>
        <w:rPr>
          <w:b w:val="0"/>
          <w:i w:val="0"/>
        </w:rPr>
        <w:tab/>
        <w:t xml:space="preserve"> - jeżeli zmiana ilości robót budowlanych wynika ze zmiany projektu, której nie przewidziano w dniu zawarcia umowy i będzie to niezbędne dla prawidłowej realizacji przedmiotu umowy oraz konieczne do uzyskania efektu końcowego. Do obliczenia wartości zmniejszonego zakresu robót posłuży kosztorys ofertowy i zestawienie elementów scalonych inwestycji. </w:t>
      </w:r>
    </w:p>
    <w:p w:rsidR="00FB7FAC" w:rsidRDefault="00FB7FAC" w:rsidP="00FB7FAC">
      <w:pPr>
        <w:pStyle w:val="Tekstpodstawowy"/>
        <w:ind w:left="361" w:hanging="361"/>
        <w:rPr>
          <w:b w:val="0"/>
          <w:i w:val="0"/>
        </w:rPr>
      </w:pPr>
      <w:r>
        <w:rPr>
          <w:b w:val="0"/>
          <w:i w:val="0"/>
        </w:rPr>
        <w:t>2) w zakresie zmian materiałowych: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a) w przypadku zmian, których nie można było przewidzieć w chwili zawarcia umowy, lub zmiany te są korzystne dla Zamawiającego,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b) w przypadku niedostępności na rynku materiałów lub urządzeń wskazanych w ofercie, dokumentacji projektowej, spowodowana zaprzestaniem produkcji lub wycofaniem z rynku tych materiałów lub urządzeń,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c) w przypadku pojawienia się na rynku, materiałów, części lub urządzeń nowszej generacji pozwalających na zmniejszenie kosztów eksploatacji wykonanego przedmiotu umowy,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d) w przypadku konieczności zrealizowania projektu przy zastosowaniu innych rozwiązań technicznych, technologicznych niż wskazane w ofercie, dokumentacji projektowej w sytuacji gdyby zastosowanie przewidzianych rozwiązań groziłoby nie wykonaniem lub wadliwym wykonaniem projektu,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e) w przypadku zmian dokonanych na podstawie art. 23 pkt. 1 ustawy Prawo budowlane dotyczących zmiany w rozwiązaniach projektowych, jeżeli są one uzasadnioną koniecznością zwiększenia bezpieczeństwa realizacji robót budowlanych lub usprawnienia procesu budowy,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f) w przypadku zmian, będącym nieistotnym odstępstwem od zatwierdzonego projektu budowlanego.</w:t>
      </w:r>
    </w:p>
    <w:p w:rsidR="00FB7FAC" w:rsidRDefault="00FB7FA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3)  w zakresie zmiany personelu nadzorującego budowę, pod warunkiem posiadania przez osobę obejmującą samodzielną funkcję na budowie uprawnień w nie mniejszym zakresie niż osoba wskazana w ofercie;</w:t>
      </w:r>
    </w:p>
    <w:p w:rsidR="00FB7FAC" w:rsidRDefault="005F490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</w:t>
      </w:r>
      <w:r w:rsidR="00FB7FAC">
        <w:rPr>
          <w:b w:val="0"/>
          <w:i w:val="0"/>
        </w:rPr>
        <w:t>)  w zakresie wydłużenia terminu obowiązywania umowy pod warunkiem, że prace objęte umową zostały wstrzymane przez właściwe organy z przyczyn niezależnych od Wykonawcy lub z powodu okoliczności, które wystąpiły po stronie Zamawiającego.</w:t>
      </w:r>
    </w:p>
    <w:p w:rsidR="00FB7FAC" w:rsidRDefault="00FB7FAC" w:rsidP="00FB7FAC">
      <w:pPr>
        <w:pStyle w:val="Tekstpodstawowy"/>
        <w:ind w:left="284" w:hanging="284"/>
        <w:rPr>
          <w:b w:val="0"/>
          <w:i w:val="0"/>
        </w:rPr>
      </w:pPr>
      <w:r>
        <w:rPr>
          <w:b w:val="0"/>
          <w:i w:val="0"/>
        </w:rPr>
        <w:t>2. Wymienione w ust. 1 postanowienia stanowią katalog zmian, na które Zamawiający dopuszcza wyrażenie zgody. Nie stanowią jednocześnie zobowiązania do wyrażenia takiej zgody przez Zamawiającego.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15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ust.1,</w:t>
      </w:r>
      <w:r w:rsidR="00302EF1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16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lastRenderedPageBreak/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</w:t>
      </w:r>
      <w:r w:rsidR="00962B6A">
        <w:rPr>
          <w:rFonts w:eastAsia="Arial"/>
          <w:sz w:val="24"/>
          <w:szCs w:val="24"/>
        </w:rPr>
        <w:t>e</w:t>
      </w:r>
      <w:r w:rsidR="00BD6A33" w:rsidRPr="00230E7A">
        <w:rPr>
          <w:rFonts w:eastAsia="Arial"/>
          <w:sz w:val="24"/>
          <w:szCs w:val="24"/>
        </w:rPr>
        <w:t>.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30572E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1</w:t>
      </w:r>
      <w:r w:rsidR="00962B6A">
        <w:rPr>
          <w:rFonts w:eastAsia="Calibri"/>
          <w:sz w:val="24"/>
          <w:szCs w:val="24"/>
        </w:rPr>
        <w:t>332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575BD4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</w:t>
      </w:r>
      <w:r w:rsidR="00575BD4">
        <w:rPr>
          <w:rFonts w:eastAsia="Calibri"/>
          <w:sz w:val="24"/>
          <w:szCs w:val="24"/>
        </w:rPr>
        <w:t>1025</w:t>
      </w:r>
      <w:r w:rsidR="009575B0">
        <w:rPr>
          <w:rFonts w:eastAsia="Calibri"/>
          <w:sz w:val="24"/>
          <w:szCs w:val="24"/>
        </w:rPr>
        <w:t xml:space="preserve"> ze zm.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="00302EF1">
        <w:rPr>
          <w:rFonts w:eastAsia="Calibri"/>
          <w:sz w:val="24"/>
          <w:szCs w:val="24"/>
        </w:rPr>
        <w:t>o ile przepisy ustawy Prawo</w:t>
      </w:r>
      <w:r w:rsidRPr="00230E7A">
        <w:rPr>
          <w:rFonts w:eastAsia="Calibri"/>
          <w:sz w:val="24"/>
          <w:szCs w:val="24"/>
        </w:rPr>
        <w:t xml:space="preserve">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B06018" w:rsidRDefault="006A54DC" w:rsidP="006A54DC">
      <w:pPr>
        <w:suppressAutoHyphens/>
        <w:jc w:val="both"/>
        <w:rPr>
          <w:rFonts w:eastAsia="Calibri"/>
          <w:strike/>
          <w:color w:val="FF0000"/>
          <w:sz w:val="24"/>
          <w:szCs w:val="24"/>
        </w:rPr>
      </w:pPr>
    </w:p>
    <w:p w:rsidR="006A54DC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6A54DC" w:rsidRDefault="00B02E08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691299">
        <w:rPr>
          <w:rFonts w:eastAsia="Calibri"/>
          <w:b/>
          <w:sz w:val="24"/>
          <w:szCs w:val="24"/>
        </w:rPr>
        <w:t xml:space="preserve">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962B6A" w:rsidRDefault="00962B6A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9575B0" w:rsidRPr="00754B78" w:rsidRDefault="009575B0" w:rsidP="009575B0">
      <w:pPr>
        <w:rPr>
          <w:sz w:val="18"/>
          <w:szCs w:val="18"/>
        </w:rPr>
      </w:pPr>
      <w:bookmarkStart w:id="0" w:name="_GoBack"/>
      <w:bookmarkEnd w:id="0"/>
      <w:r w:rsidRPr="00754B78">
        <w:rPr>
          <w:sz w:val="18"/>
          <w:szCs w:val="18"/>
        </w:rPr>
        <w:t>Sporządził: Wojciech Kopczyński</w:t>
      </w:r>
    </w:p>
    <w:p w:rsidR="009575B0" w:rsidRPr="00754B78" w:rsidRDefault="009575B0" w:rsidP="009575B0">
      <w:pPr>
        <w:rPr>
          <w:sz w:val="18"/>
          <w:szCs w:val="18"/>
        </w:rPr>
      </w:pPr>
    </w:p>
    <w:p w:rsidR="009575B0" w:rsidRPr="00754B78" w:rsidRDefault="009575B0" w:rsidP="009575B0">
      <w:pPr>
        <w:rPr>
          <w:sz w:val="18"/>
          <w:szCs w:val="18"/>
        </w:rPr>
      </w:pPr>
      <w:r w:rsidRPr="00754B78">
        <w:rPr>
          <w:sz w:val="18"/>
          <w:szCs w:val="18"/>
        </w:rPr>
        <w:t>Sprawę prowadzi: Marek Myka</w:t>
      </w: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9E0D8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66" w:rsidRDefault="00FE6266">
      <w:r>
        <w:separator/>
      </w:r>
    </w:p>
  </w:endnote>
  <w:endnote w:type="continuationSeparator" w:id="0">
    <w:p w:rsidR="00FE6266" w:rsidRDefault="00FE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F" w:rsidRDefault="001B5D2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30F" w:rsidRDefault="005B530F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57360"/>
      <w:docPartObj>
        <w:docPartGallery w:val="Page Numbers (Bottom of Page)"/>
        <w:docPartUnique/>
      </w:docPartObj>
    </w:sdtPr>
    <w:sdtContent>
      <w:p w:rsidR="009E0D8A" w:rsidRPr="00585DD5" w:rsidRDefault="009E0D8A" w:rsidP="009E0D8A">
        <w:pPr>
          <w:pStyle w:val="NormalnyWeb"/>
          <w:spacing w:line="276" w:lineRule="auto"/>
          <w:jc w:val="center"/>
          <w:rPr>
            <w:sz w:val="16"/>
            <w:szCs w:val="16"/>
          </w:rPr>
        </w:pPr>
        <w:r w:rsidRPr="00585DD5">
          <w:rPr>
            <w:sz w:val="16"/>
            <w:szCs w:val="16"/>
          </w:rPr>
          <w:t>Zamawiający: Powiat Węgorzewski z siedzibą w Węgorzewie ul. 3 Maja 17B, 11-600 Węgorzewo</w:t>
        </w:r>
      </w:p>
      <w:p w:rsidR="009E0D8A" w:rsidRPr="00200163" w:rsidRDefault="001B5D21" w:rsidP="009E0D8A">
        <w:pPr>
          <w:pStyle w:val="NormalnyWeb"/>
          <w:spacing w:line="276" w:lineRule="auto"/>
          <w:jc w:val="center"/>
          <w:rPr>
            <w:color w:val="0000CD"/>
            <w:sz w:val="16"/>
            <w:szCs w:val="16"/>
            <w:shd w:val="clear" w:color="auto" w:fill="FFFFFF"/>
            <w:lang w:val="en-US"/>
          </w:rPr>
        </w:pPr>
        <w:hyperlink r:id="rId1" w:history="1">
          <w:r w:rsidR="009E0D8A" w:rsidRPr="00200163">
            <w:rPr>
              <w:rStyle w:val="Hipercze"/>
              <w:sz w:val="16"/>
              <w:szCs w:val="16"/>
              <w:lang w:val="en-US"/>
            </w:rPr>
            <w:t>www.powiatwegorzewski.pl</w:t>
          </w:r>
        </w:hyperlink>
        <w:r w:rsidR="009E0D8A" w:rsidRPr="00200163">
          <w:rPr>
            <w:color w:val="000000"/>
            <w:sz w:val="16"/>
            <w:szCs w:val="16"/>
            <w:lang w:val="en-US"/>
          </w:rPr>
          <w:t xml:space="preserve"> email: </w:t>
        </w:r>
        <w:hyperlink r:id="rId2" w:history="1">
          <w:r w:rsidR="009E0D8A" w:rsidRPr="00200163">
            <w:rPr>
              <w:rStyle w:val="Hipercze"/>
              <w:sz w:val="16"/>
              <w:szCs w:val="16"/>
              <w:shd w:val="clear" w:color="auto" w:fill="FFFFFF"/>
              <w:lang w:val="en-US"/>
            </w:rPr>
            <w:t>starostwo@powiatwegorzewski.pl</w:t>
          </w:r>
        </w:hyperlink>
      </w:p>
      <w:p w:rsidR="00581B84" w:rsidRPr="005651AD" w:rsidRDefault="00581B84" w:rsidP="00581B84">
        <w:pPr>
          <w:pStyle w:val="Stopka"/>
          <w:jc w:val="center"/>
          <w:rPr>
            <w:lang w:val="en-US"/>
          </w:rPr>
        </w:pPr>
      </w:p>
      <w:p w:rsidR="005B530F" w:rsidRPr="005651AD" w:rsidRDefault="005B530F" w:rsidP="00C9472E">
        <w:pPr>
          <w:pStyle w:val="Stopka"/>
          <w:jc w:val="center"/>
          <w:rPr>
            <w:lang w:val="en-US"/>
          </w:rPr>
        </w:pPr>
      </w:p>
      <w:p w:rsidR="005B530F" w:rsidRPr="005651AD" w:rsidRDefault="005B530F">
        <w:pPr>
          <w:pStyle w:val="Stopka"/>
          <w:jc w:val="center"/>
          <w:rPr>
            <w:lang w:val="en-US"/>
          </w:rPr>
        </w:pPr>
      </w:p>
      <w:p w:rsidR="005B530F" w:rsidRDefault="001B5D21">
        <w:pPr>
          <w:pStyle w:val="Stopka"/>
          <w:jc w:val="center"/>
        </w:pPr>
      </w:p>
    </w:sdtContent>
  </w:sdt>
  <w:p w:rsidR="005B530F" w:rsidRDefault="005B530F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66" w:rsidRDefault="00FE6266">
      <w:r>
        <w:separator/>
      </w:r>
    </w:p>
  </w:footnote>
  <w:footnote w:type="continuationSeparator" w:id="0">
    <w:p w:rsidR="00FE6266" w:rsidRDefault="00FE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02"/>
      <w:gridCol w:w="6908"/>
      <w:gridCol w:w="1231"/>
    </w:tblGrid>
    <w:tr w:rsidR="005B530F" w:rsidTr="006619C5">
      <w:trPr>
        <w:trHeight w:val="1134"/>
      </w:trPr>
      <w:tc>
        <w:tcPr>
          <w:tcW w:w="2802" w:type="dxa"/>
        </w:tcPr>
        <w:p w:rsidR="005B530F" w:rsidRDefault="006619C5" w:rsidP="00C9472E">
          <w:pPr>
            <w:ind w:right="488"/>
          </w:pPr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443230</wp:posOffset>
                </wp:positionV>
                <wp:extent cx="1672590" cy="495300"/>
                <wp:effectExtent l="19050" t="0" r="3810" b="0"/>
                <wp:wrapSquare wrapText="bothSides"/>
                <wp:docPr id="10" name="Obraz 1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5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8" w:type="dxa"/>
        </w:tcPr>
        <w:p w:rsidR="006619C5" w:rsidRDefault="006619C5" w:rsidP="00D7404F">
          <w:pPr>
            <w:tabs>
              <w:tab w:val="left" w:pos="317"/>
              <w:tab w:val="left" w:pos="4253"/>
            </w:tabs>
            <w:autoSpaceDE w:val="0"/>
            <w:autoSpaceDN w:val="0"/>
            <w:adjustRightInd w:val="0"/>
            <w:ind w:left="-675" w:right="-107"/>
            <w:jc w:val="center"/>
          </w:pPr>
        </w:p>
        <w:p w:rsidR="006619C5" w:rsidRPr="006619C5" w:rsidRDefault="00F158B3" w:rsidP="006619C5">
          <w:pPr>
            <w:ind w:left="-334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158115</wp:posOffset>
                </wp:positionV>
                <wp:extent cx="704850" cy="704850"/>
                <wp:effectExtent l="19050" t="0" r="0" b="0"/>
                <wp:wrapNone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619C5" w:rsidRDefault="006619C5" w:rsidP="006619C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3754120</wp:posOffset>
                </wp:positionH>
                <wp:positionV relativeFrom="margin">
                  <wp:posOffset>379730</wp:posOffset>
                </wp:positionV>
                <wp:extent cx="2105025" cy="488950"/>
                <wp:effectExtent l="19050" t="0" r="9525" b="0"/>
                <wp:wrapSquare wrapText="bothSides"/>
                <wp:docPr id="12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3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bookmarkEnd w:id="1"/>
        <w:p w:rsidR="005B530F" w:rsidRPr="006619C5" w:rsidRDefault="005B530F" w:rsidP="006619C5">
          <w:pPr>
            <w:jc w:val="center"/>
          </w:pPr>
        </w:p>
      </w:tc>
      <w:tc>
        <w:tcPr>
          <w:tcW w:w="1231" w:type="dxa"/>
        </w:tcPr>
        <w:p w:rsidR="005B530F" w:rsidRDefault="005B530F" w:rsidP="00540473">
          <w:pPr>
            <w:jc w:val="right"/>
          </w:pPr>
        </w:p>
      </w:tc>
    </w:tr>
  </w:tbl>
  <w:p w:rsidR="005B530F" w:rsidRPr="00F41052" w:rsidRDefault="005B530F" w:rsidP="0008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000000E"/>
    <w:multiLevelType w:val="multilevel"/>
    <w:tmpl w:val="DFC4F9F8"/>
    <w:name w:val="WW8Num1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38CC"/>
    <w:multiLevelType w:val="hybridMultilevel"/>
    <w:tmpl w:val="17FE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021737"/>
    <w:multiLevelType w:val="hybridMultilevel"/>
    <w:tmpl w:val="DB6A2AA8"/>
    <w:lvl w:ilvl="0" w:tplc="A43C3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D1609"/>
    <w:multiLevelType w:val="hybridMultilevel"/>
    <w:tmpl w:val="8DD6C542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EA7F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96F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38"/>
  </w:num>
  <w:num w:numId="9">
    <w:abstractNumId w:val="36"/>
  </w:num>
  <w:num w:numId="10">
    <w:abstractNumId w:val="29"/>
  </w:num>
  <w:num w:numId="11">
    <w:abstractNumId w:val="34"/>
  </w:num>
  <w:num w:numId="12">
    <w:abstractNumId w:val="20"/>
  </w:num>
  <w:num w:numId="13">
    <w:abstractNumId w:val="37"/>
  </w:num>
  <w:num w:numId="14">
    <w:abstractNumId w:val="6"/>
  </w:num>
  <w:num w:numId="15">
    <w:abstractNumId w:val="14"/>
  </w:num>
  <w:num w:numId="16">
    <w:abstractNumId w:val="30"/>
  </w:num>
  <w:num w:numId="17">
    <w:abstractNumId w:val="22"/>
  </w:num>
  <w:num w:numId="18">
    <w:abstractNumId w:val="31"/>
  </w:num>
  <w:num w:numId="19">
    <w:abstractNumId w:val="27"/>
  </w:num>
  <w:num w:numId="20">
    <w:abstractNumId w:val="25"/>
  </w:num>
  <w:num w:numId="21">
    <w:abstractNumId w:val="28"/>
  </w:num>
  <w:num w:numId="22">
    <w:abstractNumId w:val="10"/>
  </w:num>
  <w:num w:numId="23">
    <w:abstractNumId w:val="23"/>
  </w:num>
  <w:num w:numId="24">
    <w:abstractNumId w:val="13"/>
  </w:num>
  <w:num w:numId="25">
    <w:abstractNumId w:val="5"/>
  </w:num>
  <w:num w:numId="26">
    <w:abstractNumId w:val="15"/>
  </w:num>
  <w:num w:numId="27">
    <w:abstractNumId w:val="9"/>
  </w:num>
  <w:num w:numId="28">
    <w:abstractNumId w:val="26"/>
  </w:num>
  <w:num w:numId="29">
    <w:abstractNumId w:val="35"/>
  </w:num>
  <w:num w:numId="30">
    <w:abstractNumId w:val="16"/>
  </w:num>
  <w:num w:numId="31">
    <w:abstractNumId w:val="19"/>
  </w:num>
  <w:num w:numId="32">
    <w:abstractNumId w:val="12"/>
  </w:num>
  <w:num w:numId="33">
    <w:abstractNumId w:val="38"/>
    <w:lvlOverride w:ilvl="0">
      <w:startOverride w:val="1"/>
    </w:lvlOverride>
  </w:num>
  <w:num w:numId="34">
    <w:abstractNumId w:val="33"/>
  </w:num>
  <w:num w:numId="35">
    <w:abstractNumId w:val="3"/>
  </w:num>
  <w:num w:numId="36">
    <w:abstractNumId w:val="7"/>
  </w:num>
  <w:num w:numId="37">
    <w:abstractNumId w:val="1"/>
  </w:num>
  <w:num w:numId="38">
    <w:abstractNumId w:val="21"/>
  </w:num>
  <w:num w:numId="39">
    <w:abstractNumId w:val="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5177"/>
    <w:rsid w:val="00017657"/>
    <w:rsid w:val="0002693D"/>
    <w:rsid w:val="00066706"/>
    <w:rsid w:val="000719E4"/>
    <w:rsid w:val="00074435"/>
    <w:rsid w:val="00084F6B"/>
    <w:rsid w:val="000B1A9B"/>
    <w:rsid w:val="000F38C1"/>
    <w:rsid w:val="000F7257"/>
    <w:rsid w:val="00102117"/>
    <w:rsid w:val="0011447F"/>
    <w:rsid w:val="00152D80"/>
    <w:rsid w:val="00155CED"/>
    <w:rsid w:val="001649F9"/>
    <w:rsid w:val="00167E14"/>
    <w:rsid w:val="00171A72"/>
    <w:rsid w:val="00173387"/>
    <w:rsid w:val="001801BE"/>
    <w:rsid w:val="001804AA"/>
    <w:rsid w:val="00186163"/>
    <w:rsid w:val="00187351"/>
    <w:rsid w:val="00195B5C"/>
    <w:rsid w:val="001A0EE7"/>
    <w:rsid w:val="001B5D21"/>
    <w:rsid w:val="001C03A3"/>
    <w:rsid w:val="001D1DCD"/>
    <w:rsid w:val="001F2F47"/>
    <w:rsid w:val="00200163"/>
    <w:rsid w:val="002052CB"/>
    <w:rsid w:val="00207E3A"/>
    <w:rsid w:val="0022215C"/>
    <w:rsid w:val="00230E7A"/>
    <w:rsid w:val="00236CA2"/>
    <w:rsid w:val="00237D5A"/>
    <w:rsid w:val="00247F76"/>
    <w:rsid w:val="002571D6"/>
    <w:rsid w:val="00264C3B"/>
    <w:rsid w:val="002713EA"/>
    <w:rsid w:val="002763BC"/>
    <w:rsid w:val="00282201"/>
    <w:rsid w:val="0028517E"/>
    <w:rsid w:val="0028710D"/>
    <w:rsid w:val="002A2D43"/>
    <w:rsid w:val="002B0100"/>
    <w:rsid w:val="002C16F6"/>
    <w:rsid w:val="002E5C74"/>
    <w:rsid w:val="002F47AC"/>
    <w:rsid w:val="002F5A5D"/>
    <w:rsid w:val="002F7B42"/>
    <w:rsid w:val="00302EF1"/>
    <w:rsid w:val="0030572E"/>
    <w:rsid w:val="0031112E"/>
    <w:rsid w:val="003314B0"/>
    <w:rsid w:val="003532DF"/>
    <w:rsid w:val="00362828"/>
    <w:rsid w:val="003C7CDB"/>
    <w:rsid w:val="003D6FD8"/>
    <w:rsid w:val="003E7EC4"/>
    <w:rsid w:val="003F17C9"/>
    <w:rsid w:val="003F51EB"/>
    <w:rsid w:val="004001C2"/>
    <w:rsid w:val="004002E6"/>
    <w:rsid w:val="0040428A"/>
    <w:rsid w:val="00430B3F"/>
    <w:rsid w:val="00435F5B"/>
    <w:rsid w:val="00447930"/>
    <w:rsid w:val="0046127E"/>
    <w:rsid w:val="00467E5B"/>
    <w:rsid w:val="00473714"/>
    <w:rsid w:val="00481EE9"/>
    <w:rsid w:val="00481F76"/>
    <w:rsid w:val="004840FB"/>
    <w:rsid w:val="0049693C"/>
    <w:rsid w:val="004A337A"/>
    <w:rsid w:val="004A71F5"/>
    <w:rsid w:val="004A7907"/>
    <w:rsid w:val="004B185E"/>
    <w:rsid w:val="004B6889"/>
    <w:rsid w:val="004B6CA8"/>
    <w:rsid w:val="004C70AD"/>
    <w:rsid w:val="004D3EA7"/>
    <w:rsid w:val="004D46FF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617B2"/>
    <w:rsid w:val="005651AD"/>
    <w:rsid w:val="00575BD4"/>
    <w:rsid w:val="00581B84"/>
    <w:rsid w:val="00592198"/>
    <w:rsid w:val="005A0C41"/>
    <w:rsid w:val="005A14F0"/>
    <w:rsid w:val="005B530F"/>
    <w:rsid w:val="005D4CB2"/>
    <w:rsid w:val="005F0CC2"/>
    <w:rsid w:val="005F0F08"/>
    <w:rsid w:val="005F490C"/>
    <w:rsid w:val="005F7849"/>
    <w:rsid w:val="0060784D"/>
    <w:rsid w:val="006078F8"/>
    <w:rsid w:val="00613449"/>
    <w:rsid w:val="0061496E"/>
    <w:rsid w:val="00614E1D"/>
    <w:rsid w:val="00616D22"/>
    <w:rsid w:val="00621B26"/>
    <w:rsid w:val="00621E52"/>
    <w:rsid w:val="006349A1"/>
    <w:rsid w:val="00636D1B"/>
    <w:rsid w:val="00643308"/>
    <w:rsid w:val="006509A3"/>
    <w:rsid w:val="00657A04"/>
    <w:rsid w:val="006619C5"/>
    <w:rsid w:val="0066586A"/>
    <w:rsid w:val="00676D70"/>
    <w:rsid w:val="006861CE"/>
    <w:rsid w:val="00691299"/>
    <w:rsid w:val="00695B20"/>
    <w:rsid w:val="006A24C4"/>
    <w:rsid w:val="006A54DC"/>
    <w:rsid w:val="006C4F95"/>
    <w:rsid w:val="00706E60"/>
    <w:rsid w:val="00710B4C"/>
    <w:rsid w:val="00713BD0"/>
    <w:rsid w:val="0072101B"/>
    <w:rsid w:val="0072666D"/>
    <w:rsid w:val="00727140"/>
    <w:rsid w:val="00751B30"/>
    <w:rsid w:val="00763907"/>
    <w:rsid w:val="00772CFE"/>
    <w:rsid w:val="00777E39"/>
    <w:rsid w:val="00791580"/>
    <w:rsid w:val="007A5A42"/>
    <w:rsid w:val="007B7129"/>
    <w:rsid w:val="007D4FEB"/>
    <w:rsid w:val="007D5330"/>
    <w:rsid w:val="00800AFB"/>
    <w:rsid w:val="00805A54"/>
    <w:rsid w:val="00812528"/>
    <w:rsid w:val="00813201"/>
    <w:rsid w:val="00840A2B"/>
    <w:rsid w:val="00854F4C"/>
    <w:rsid w:val="00867C6D"/>
    <w:rsid w:val="00877656"/>
    <w:rsid w:val="00887271"/>
    <w:rsid w:val="00890FF8"/>
    <w:rsid w:val="008A39FE"/>
    <w:rsid w:val="008C036B"/>
    <w:rsid w:val="008C7E81"/>
    <w:rsid w:val="008D084A"/>
    <w:rsid w:val="008D13B5"/>
    <w:rsid w:val="00917725"/>
    <w:rsid w:val="0093229F"/>
    <w:rsid w:val="009376D5"/>
    <w:rsid w:val="00941DF3"/>
    <w:rsid w:val="009514C2"/>
    <w:rsid w:val="009521D6"/>
    <w:rsid w:val="00953552"/>
    <w:rsid w:val="009575B0"/>
    <w:rsid w:val="00962B6A"/>
    <w:rsid w:val="009668EF"/>
    <w:rsid w:val="00970B9E"/>
    <w:rsid w:val="00973B12"/>
    <w:rsid w:val="00991E43"/>
    <w:rsid w:val="009A1751"/>
    <w:rsid w:val="009C6219"/>
    <w:rsid w:val="009D3E09"/>
    <w:rsid w:val="009D43E6"/>
    <w:rsid w:val="009E0D8A"/>
    <w:rsid w:val="009E1FDB"/>
    <w:rsid w:val="00A012D0"/>
    <w:rsid w:val="00A04952"/>
    <w:rsid w:val="00A15222"/>
    <w:rsid w:val="00A15BA2"/>
    <w:rsid w:val="00A23E8F"/>
    <w:rsid w:val="00A3493E"/>
    <w:rsid w:val="00A51274"/>
    <w:rsid w:val="00A54837"/>
    <w:rsid w:val="00A74698"/>
    <w:rsid w:val="00A81744"/>
    <w:rsid w:val="00A82FD2"/>
    <w:rsid w:val="00AE74DF"/>
    <w:rsid w:val="00B02E08"/>
    <w:rsid w:val="00B03890"/>
    <w:rsid w:val="00B05528"/>
    <w:rsid w:val="00B06018"/>
    <w:rsid w:val="00B16888"/>
    <w:rsid w:val="00B30C28"/>
    <w:rsid w:val="00B35818"/>
    <w:rsid w:val="00B44454"/>
    <w:rsid w:val="00B510E7"/>
    <w:rsid w:val="00B6671F"/>
    <w:rsid w:val="00B77895"/>
    <w:rsid w:val="00BA494E"/>
    <w:rsid w:val="00BA7EE5"/>
    <w:rsid w:val="00BD6A33"/>
    <w:rsid w:val="00BF00F4"/>
    <w:rsid w:val="00C0320F"/>
    <w:rsid w:val="00C037BC"/>
    <w:rsid w:val="00C13808"/>
    <w:rsid w:val="00C16309"/>
    <w:rsid w:val="00C2651D"/>
    <w:rsid w:val="00C42C26"/>
    <w:rsid w:val="00C45370"/>
    <w:rsid w:val="00C54671"/>
    <w:rsid w:val="00C718FD"/>
    <w:rsid w:val="00C823EC"/>
    <w:rsid w:val="00C9472E"/>
    <w:rsid w:val="00C9505A"/>
    <w:rsid w:val="00CB0CB0"/>
    <w:rsid w:val="00CB1C5B"/>
    <w:rsid w:val="00CC1E41"/>
    <w:rsid w:val="00CC5DD5"/>
    <w:rsid w:val="00D01ADF"/>
    <w:rsid w:val="00D1185F"/>
    <w:rsid w:val="00D23886"/>
    <w:rsid w:val="00D244AF"/>
    <w:rsid w:val="00D26EEA"/>
    <w:rsid w:val="00D27B25"/>
    <w:rsid w:val="00D32593"/>
    <w:rsid w:val="00D365E6"/>
    <w:rsid w:val="00D4543E"/>
    <w:rsid w:val="00D7404F"/>
    <w:rsid w:val="00D92B26"/>
    <w:rsid w:val="00DB5355"/>
    <w:rsid w:val="00DB7CE3"/>
    <w:rsid w:val="00DC5A44"/>
    <w:rsid w:val="00DD0192"/>
    <w:rsid w:val="00DE1CBC"/>
    <w:rsid w:val="00DF1369"/>
    <w:rsid w:val="00E04D5B"/>
    <w:rsid w:val="00E17685"/>
    <w:rsid w:val="00E20502"/>
    <w:rsid w:val="00E2327B"/>
    <w:rsid w:val="00E35045"/>
    <w:rsid w:val="00E50BD3"/>
    <w:rsid w:val="00E657B0"/>
    <w:rsid w:val="00E65EFB"/>
    <w:rsid w:val="00E67EB1"/>
    <w:rsid w:val="00EA5DEC"/>
    <w:rsid w:val="00EB4833"/>
    <w:rsid w:val="00EB6123"/>
    <w:rsid w:val="00EC6325"/>
    <w:rsid w:val="00EE4F02"/>
    <w:rsid w:val="00F030F2"/>
    <w:rsid w:val="00F06BB3"/>
    <w:rsid w:val="00F074C2"/>
    <w:rsid w:val="00F12AF2"/>
    <w:rsid w:val="00F158B3"/>
    <w:rsid w:val="00F34819"/>
    <w:rsid w:val="00F471DE"/>
    <w:rsid w:val="00F528BC"/>
    <w:rsid w:val="00F6510E"/>
    <w:rsid w:val="00F65792"/>
    <w:rsid w:val="00F964A5"/>
    <w:rsid w:val="00FA731D"/>
    <w:rsid w:val="00FB0991"/>
    <w:rsid w:val="00FB2A54"/>
    <w:rsid w:val="00FB2E06"/>
    <w:rsid w:val="00FB7FAC"/>
    <w:rsid w:val="00FC2F37"/>
    <w:rsid w:val="00FC5650"/>
    <w:rsid w:val="00FC7E5E"/>
    <w:rsid w:val="00FD39D6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9E0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68E1-786E-4A3C-A26C-E4D18F8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5157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40</cp:revision>
  <cp:lastPrinted>2018-02-05T06:32:00Z</cp:lastPrinted>
  <dcterms:created xsi:type="dcterms:W3CDTF">2018-07-02T18:29:00Z</dcterms:created>
  <dcterms:modified xsi:type="dcterms:W3CDTF">2018-10-08T15:03:00Z</dcterms:modified>
</cp:coreProperties>
</file>